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8BE71">
      <w:pPr>
        <w:shd w:val="clear"/>
        <w:spacing w:line="300" w:lineRule="auto"/>
        <w:jc w:val="center"/>
        <w:rPr>
          <w:rFonts w:ascii="Times New Roman" w:hAnsi="Times New Roman" w:eastAsia="黑体"/>
          <w:b/>
          <w:bCs/>
          <w:color w:val="000000"/>
          <w:w w:val="90"/>
          <w:sz w:val="44"/>
          <w:szCs w:val="44"/>
          <w:highlight w:val="none"/>
        </w:rPr>
      </w:pPr>
    </w:p>
    <w:p w14:paraId="2D4DE889">
      <w:pPr>
        <w:widowControl w:val="0"/>
        <w:shd w:val="clear"/>
        <w:spacing w:before="468" w:beforeLines="150" w:after="468" w:afterLines="150"/>
        <w:jc w:val="center"/>
        <w:rPr>
          <w:rFonts w:hint="eastAsia" w:ascii="方正小标宋简体" w:hAnsi="方正小标宋简体" w:eastAsia="方正小标宋简体" w:cs="方正小标宋简体"/>
          <w:b/>
          <w:kern w:val="2"/>
          <w:sz w:val="52"/>
          <w:szCs w:val="52"/>
          <w:highlight w:val="none"/>
        </w:rPr>
      </w:pPr>
      <w:r>
        <w:rPr>
          <w:rFonts w:hint="eastAsia" w:ascii="方正小标宋简体" w:hAnsi="方正小标宋简体" w:eastAsia="方正小标宋简体" w:cs="方正小标宋简体"/>
          <w:b/>
          <w:kern w:val="2"/>
          <w:sz w:val="52"/>
          <w:szCs w:val="52"/>
          <w:highlight w:val="none"/>
        </w:rPr>
        <w:t>山东济钢环保新材料有限公司</w:t>
      </w:r>
    </w:p>
    <w:p w14:paraId="251DEAFA">
      <w:pPr>
        <w:shd w:val="clear"/>
        <w:spacing w:line="300" w:lineRule="auto"/>
        <w:ind w:left="0" w:leftChars="0" w:firstLine="0" w:firstLineChars="0"/>
        <w:jc w:val="center"/>
        <w:rPr>
          <w:rFonts w:hint="eastAsia" w:ascii="方正小标宋简体" w:hAnsi="方正小标宋简体" w:eastAsia="方正小标宋简体" w:cs="方正小标宋简体"/>
          <w:b/>
          <w:bCs/>
          <w:color w:val="000000"/>
          <w:w w:val="90"/>
          <w:sz w:val="44"/>
          <w:szCs w:val="44"/>
          <w:highlight w:val="none"/>
        </w:rPr>
      </w:pPr>
      <w:r>
        <w:rPr>
          <w:rFonts w:hint="eastAsia" w:ascii="方正小标宋简体" w:hAnsi="方正小标宋简体" w:eastAsia="方正小标宋简体" w:cs="方正小标宋简体"/>
          <w:b/>
          <w:bCs/>
          <w:color w:val="000000"/>
          <w:w w:val="90"/>
          <w:sz w:val="44"/>
          <w:szCs w:val="44"/>
          <w:highlight w:val="none"/>
          <w:lang w:eastAsia="zh-CN"/>
        </w:rPr>
        <w:t>2026年-2027年</w:t>
      </w:r>
      <w:r>
        <w:rPr>
          <w:rFonts w:hint="eastAsia" w:ascii="方正小标宋简体" w:hAnsi="方正小标宋简体" w:eastAsia="方正小标宋简体" w:cs="方正小标宋简体"/>
          <w:b/>
          <w:bCs/>
          <w:color w:val="000000"/>
          <w:w w:val="90"/>
          <w:sz w:val="44"/>
          <w:szCs w:val="44"/>
          <w:highlight w:val="none"/>
        </w:rPr>
        <w:t>低压电机及水泵</w:t>
      </w:r>
    </w:p>
    <w:p w14:paraId="0EE784D5">
      <w:pPr>
        <w:shd w:val="clear"/>
        <w:spacing w:line="300" w:lineRule="auto"/>
        <w:ind w:left="0" w:leftChars="0" w:firstLine="0" w:firstLineChars="0"/>
        <w:jc w:val="center"/>
        <w:rPr>
          <w:rFonts w:hint="eastAsia" w:ascii="方正小标宋简体" w:hAnsi="方正小标宋简体" w:eastAsia="方正小标宋简体" w:cs="方正小标宋简体"/>
          <w:b/>
          <w:bCs/>
          <w:color w:val="000000"/>
          <w:w w:val="90"/>
          <w:sz w:val="44"/>
          <w:szCs w:val="44"/>
          <w:highlight w:val="none"/>
        </w:rPr>
      </w:pPr>
      <w:r>
        <w:rPr>
          <w:rFonts w:hint="eastAsia" w:ascii="方正小标宋简体" w:hAnsi="方正小标宋简体" w:eastAsia="方正小标宋简体" w:cs="方正小标宋简体"/>
          <w:b/>
          <w:bCs/>
          <w:color w:val="000000"/>
          <w:w w:val="90"/>
          <w:sz w:val="44"/>
          <w:szCs w:val="44"/>
          <w:highlight w:val="none"/>
        </w:rPr>
        <w:t>维修保养服务</w:t>
      </w:r>
    </w:p>
    <w:p w14:paraId="7486897C">
      <w:pPr>
        <w:shd w:val="clear"/>
        <w:spacing w:line="300" w:lineRule="auto"/>
        <w:ind w:firstLine="3182" w:firstLineChars="800"/>
        <w:rPr>
          <w:rFonts w:hint="eastAsia" w:ascii="方正小标宋简体" w:hAnsi="方正小标宋简体" w:eastAsia="方正小标宋简体" w:cs="方正小标宋简体"/>
          <w:b/>
          <w:bCs/>
          <w:color w:val="000000"/>
          <w:w w:val="90"/>
          <w:sz w:val="44"/>
          <w:szCs w:val="44"/>
          <w:highlight w:val="none"/>
        </w:rPr>
      </w:pPr>
    </w:p>
    <w:p w14:paraId="2761CCF4">
      <w:pPr>
        <w:shd w:val="clear"/>
        <w:spacing w:line="300" w:lineRule="auto"/>
        <w:ind w:firstLine="3182" w:firstLineChars="800"/>
        <w:rPr>
          <w:rFonts w:hint="eastAsia" w:ascii="方正小标宋简体" w:hAnsi="方正小标宋简体" w:eastAsia="方正小标宋简体" w:cs="方正小标宋简体"/>
          <w:b/>
          <w:bCs/>
          <w:color w:val="000000"/>
          <w:w w:val="90"/>
          <w:sz w:val="44"/>
          <w:szCs w:val="44"/>
          <w:highlight w:val="none"/>
        </w:rPr>
      </w:pPr>
    </w:p>
    <w:p w14:paraId="45CECF26">
      <w:pPr>
        <w:widowControl w:val="0"/>
        <w:shd w:val="clear"/>
        <w:spacing w:before="468" w:beforeLines="150" w:after="468" w:afterLines="150"/>
        <w:jc w:val="center"/>
        <w:rPr>
          <w:rFonts w:hint="eastAsia" w:ascii="方正小标宋简体" w:hAnsi="方正小标宋简体" w:eastAsia="方正小标宋简体" w:cs="方正小标宋简体"/>
          <w:b/>
          <w:kern w:val="2"/>
          <w:sz w:val="52"/>
          <w:szCs w:val="52"/>
          <w:highlight w:val="none"/>
        </w:rPr>
      </w:pPr>
      <w:r>
        <w:rPr>
          <w:rFonts w:hint="eastAsia" w:ascii="方正小标宋简体" w:hAnsi="方正小标宋简体" w:eastAsia="方正小标宋简体" w:cs="方正小标宋简体"/>
          <w:b/>
          <w:kern w:val="2"/>
          <w:sz w:val="52"/>
          <w:szCs w:val="52"/>
          <w:highlight w:val="none"/>
        </w:rPr>
        <w:t>招标文件</w:t>
      </w:r>
    </w:p>
    <w:p w14:paraId="1AAAD2BF">
      <w:pPr>
        <w:shd w:val="clear"/>
        <w:spacing w:line="300" w:lineRule="auto"/>
        <w:jc w:val="center"/>
        <w:rPr>
          <w:rFonts w:hint="eastAsia" w:ascii="方正小标宋简体" w:hAnsi="方正小标宋简体" w:eastAsia="方正小标宋简体" w:cs="方正小标宋简体"/>
          <w:b/>
          <w:bCs/>
          <w:color w:val="000000"/>
          <w:w w:val="90"/>
          <w:sz w:val="44"/>
          <w:szCs w:val="44"/>
          <w:highlight w:val="none"/>
        </w:rPr>
      </w:pPr>
    </w:p>
    <w:p w14:paraId="1157993A">
      <w:pPr>
        <w:shd w:val="clear"/>
        <w:spacing w:line="300" w:lineRule="auto"/>
        <w:ind w:firstLine="6401" w:firstLineChars="1449"/>
        <w:rPr>
          <w:rFonts w:hint="eastAsia" w:ascii="方正小标宋简体" w:hAnsi="方正小标宋简体" w:eastAsia="方正小标宋简体" w:cs="方正小标宋简体"/>
          <w:b/>
          <w:color w:val="000000"/>
          <w:sz w:val="44"/>
          <w:szCs w:val="44"/>
          <w:highlight w:val="none"/>
        </w:rPr>
      </w:pPr>
    </w:p>
    <w:p w14:paraId="72132E3B">
      <w:pPr>
        <w:shd w:val="clear"/>
        <w:spacing w:line="300" w:lineRule="auto"/>
        <w:ind w:firstLine="5288" w:firstLineChars="1646"/>
        <w:rPr>
          <w:rFonts w:hint="eastAsia" w:ascii="方正小标宋简体" w:hAnsi="方正小标宋简体" w:eastAsia="方正小标宋简体" w:cs="方正小标宋简体"/>
          <w:b/>
          <w:color w:val="000000"/>
          <w:sz w:val="32"/>
          <w:szCs w:val="32"/>
          <w:highlight w:val="none"/>
          <w:u w:val="single"/>
        </w:rPr>
      </w:pPr>
    </w:p>
    <w:p w14:paraId="07470409">
      <w:pPr>
        <w:shd w:val="clear"/>
        <w:tabs>
          <w:tab w:val="left" w:pos="1134"/>
          <w:tab w:val="left" w:pos="5481"/>
          <w:tab w:val="left" w:pos="5859"/>
        </w:tabs>
        <w:spacing w:line="300" w:lineRule="auto"/>
        <w:rPr>
          <w:rFonts w:hint="eastAsia" w:ascii="方正小标宋简体" w:hAnsi="方正小标宋简体" w:eastAsia="方正小标宋简体" w:cs="方正小标宋简体"/>
          <w:b/>
          <w:color w:val="000000"/>
          <w:sz w:val="28"/>
          <w:szCs w:val="28"/>
          <w:highlight w:val="none"/>
        </w:rPr>
      </w:pPr>
    </w:p>
    <w:p w14:paraId="61757F00">
      <w:pPr>
        <w:shd w:val="clear"/>
        <w:tabs>
          <w:tab w:val="left" w:pos="1134"/>
          <w:tab w:val="left" w:pos="5481"/>
          <w:tab w:val="left" w:pos="5859"/>
        </w:tabs>
        <w:spacing w:line="300" w:lineRule="auto"/>
        <w:rPr>
          <w:rFonts w:hint="eastAsia" w:ascii="方正小标宋简体" w:hAnsi="方正小标宋简体" w:eastAsia="方正小标宋简体" w:cs="方正小标宋简体"/>
          <w:b/>
          <w:color w:val="000000"/>
          <w:sz w:val="28"/>
          <w:szCs w:val="28"/>
          <w:highlight w:val="none"/>
        </w:rPr>
      </w:pPr>
    </w:p>
    <w:p w14:paraId="12219B61">
      <w:pPr>
        <w:shd w:val="clear"/>
        <w:spacing w:line="300" w:lineRule="auto"/>
        <w:ind w:firstLine="560" w:firstLineChars="200"/>
        <w:rPr>
          <w:rFonts w:hint="eastAsia" w:ascii="方正小标宋简体" w:hAnsi="方正小标宋简体" w:eastAsia="方正小标宋简体" w:cs="方正小标宋简体"/>
          <w:bCs/>
          <w:color w:val="000000"/>
          <w:sz w:val="32"/>
          <w:szCs w:val="32"/>
          <w:highlight w:val="none"/>
        </w:rPr>
      </w:pPr>
      <w:r>
        <w:rPr>
          <w:rFonts w:hint="eastAsia" w:ascii="方正小标宋简体" w:hAnsi="方正小标宋简体" w:eastAsia="方正小标宋简体" w:cs="方正小标宋简体"/>
          <w:bCs/>
          <w:color w:val="000000"/>
          <w:sz w:val="28"/>
          <w:szCs w:val="28"/>
          <w:highlight w:val="none"/>
        </w:rPr>
        <w:t xml:space="preserve">   </w:t>
      </w:r>
      <w:r>
        <w:rPr>
          <w:rFonts w:hint="eastAsia" w:ascii="方正小标宋简体" w:hAnsi="方正小标宋简体" w:eastAsia="方正小标宋简体" w:cs="方正小标宋简体"/>
          <w:bCs/>
          <w:color w:val="000000"/>
          <w:sz w:val="32"/>
          <w:szCs w:val="32"/>
          <w:highlight w:val="none"/>
        </w:rPr>
        <w:t xml:space="preserve">    招标人：山东济钢环保新材料有限公司 </w:t>
      </w:r>
    </w:p>
    <w:p w14:paraId="2F9CEC52">
      <w:pPr>
        <w:pStyle w:val="81"/>
        <w:shd w:val="clear" w:color="auto"/>
        <w:spacing w:line="300" w:lineRule="auto"/>
        <w:jc w:val="center"/>
        <w:rPr>
          <w:rFonts w:hint="eastAsia" w:ascii="方正小标宋简体" w:hAnsi="方正小标宋简体" w:eastAsia="方正小标宋简体" w:cs="方正小标宋简体"/>
          <w:bCs/>
          <w:color w:val="000000"/>
          <w:spacing w:val="28"/>
          <w:sz w:val="32"/>
          <w:szCs w:val="32"/>
          <w:highlight w:val="none"/>
        </w:rPr>
      </w:pPr>
      <w:r>
        <w:rPr>
          <w:rFonts w:hint="eastAsia" w:ascii="方正小标宋简体" w:hAnsi="方正小标宋简体" w:eastAsia="方正小标宋简体" w:cs="方正小标宋简体"/>
          <w:bCs/>
          <w:color w:val="000000"/>
          <w:spacing w:val="28"/>
          <w:sz w:val="32"/>
          <w:szCs w:val="32"/>
          <w:highlight w:val="none"/>
        </w:rPr>
        <w:t>202</w:t>
      </w:r>
      <w:r>
        <w:rPr>
          <w:rFonts w:hint="eastAsia" w:ascii="方正小标宋简体" w:hAnsi="方正小标宋简体" w:eastAsia="方正小标宋简体" w:cs="方正小标宋简体"/>
          <w:bCs/>
          <w:color w:val="000000"/>
          <w:spacing w:val="28"/>
          <w:sz w:val="32"/>
          <w:szCs w:val="32"/>
          <w:highlight w:val="none"/>
          <w:lang w:val="en-US" w:eastAsia="zh-CN"/>
        </w:rPr>
        <w:t>6</w:t>
      </w:r>
      <w:r>
        <w:rPr>
          <w:rFonts w:hint="eastAsia" w:ascii="方正小标宋简体" w:hAnsi="方正小标宋简体" w:eastAsia="方正小标宋简体" w:cs="方正小标宋简体"/>
          <w:bCs/>
          <w:color w:val="000000"/>
          <w:spacing w:val="28"/>
          <w:sz w:val="32"/>
          <w:szCs w:val="32"/>
          <w:highlight w:val="none"/>
        </w:rPr>
        <w:t>年</w:t>
      </w:r>
      <w:r>
        <w:rPr>
          <w:rFonts w:hint="eastAsia" w:ascii="方正小标宋简体" w:hAnsi="方正小标宋简体" w:eastAsia="方正小标宋简体" w:cs="方正小标宋简体"/>
          <w:bCs/>
          <w:color w:val="000000"/>
          <w:spacing w:val="28"/>
          <w:sz w:val="32"/>
          <w:szCs w:val="32"/>
          <w:highlight w:val="none"/>
          <w:lang w:val="en-US" w:eastAsia="zh-CN"/>
        </w:rPr>
        <w:t>7</w:t>
      </w:r>
      <w:r>
        <w:rPr>
          <w:rFonts w:hint="eastAsia" w:ascii="方正小标宋简体" w:hAnsi="方正小标宋简体" w:eastAsia="方正小标宋简体" w:cs="方正小标宋简体"/>
          <w:bCs/>
          <w:color w:val="000000"/>
          <w:spacing w:val="28"/>
          <w:sz w:val="32"/>
          <w:szCs w:val="32"/>
          <w:highlight w:val="none"/>
        </w:rPr>
        <w:t>月</w:t>
      </w:r>
      <w:r>
        <w:rPr>
          <w:rFonts w:hint="eastAsia" w:ascii="方正小标宋简体" w:hAnsi="方正小标宋简体" w:eastAsia="方正小标宋简体" w:cs="方正小标宋简体"/>
          <w:bCs/>
          <w:color w:val="000000"/>
          <w:spacing w:val="28"/>
          <w:sz w:val="32"/>
          <w:szCs w:val="32"/>
          <w:highlight w:val="none"/>
          <w:lang w:val="en-US" w:eastAsia="zh-CN"/>
        </w:rPr>
        <w:t>8</w:t>
      </w:r>
      <w:r>
        <w:rPr>
          <w:rFonts w:hint="eastAsia" w:ascii="方正小标宋简体" w:hAnsi="方正小标宋简体" w:eastAsia="方正小标宋简体" w:cs="方正小标宋简体"/>
          <w:bCs/>
          <w:color w:val="000000"/>
          <w:spacing w:val="28"/>
          <w:sz w:val="32"/>
          <w:szCs w:val="32"/>
          <w:highlight w:val="none"/>
        </w:rPr>
        <w:t>日</w:t>
      </w:r>
    </w:p>
    <w:p w14:paraId="27BC4EDB">
      <w:pPr>
        <w:shd w:val="clear"/>
        <w:spacing w:line="300" w:lineRule="auto"/>
        <w:rPr>
          <w:rFonts w:hint="eastAsia" w:ascii="方正小标宋简体" w:hAnsi="方正小标宋简体" w:eastAsia="方正小标宋简体" w:cs="方正小标宋简体"/>
          <w:bCs/>
          <w:color w:val="000000"/>
          <w:sz w:val="28"/>
          <w:szCs w:val="28"/>
          <w:highlight w:val="none"/>
        </w:rPr>
        <w:sectPr>
          <w:headerReference r:id="rId3" w:type="default"/>
          <w:pgSz w:w="11906" w:h="16838"/>
          <w:pgMar w:top="1440" w:right="1416" w:bottom="1440" w:left="1560" w:header="851" w:footer="992" w:gutter="0"/>
          <w:cols w:space="720" w:num="1"/>
          <w:docGrid w:type="lines" w:linePitch="312" w:charSpace="0"/>
        </w:sectPr>
      </w:pPr>
    </w:p>
    <w:sdt>
      <w:sdtPr>
        <w:rPr>
          <w:rFonts w:ascii="宋体" w:hAnsi="宋体" w:eastAsia="宋体" w:cs="宋体"/>
          <w:sz w:val="21"/>
          <w:szCs w:val="24"/>
          <w:lang w:val="en-US" w:eastAsia="zh-CN" w:bidi="ar-SA"/>
        </w:rPr>
        <w:id w:val="147467750"/>
        <w15:color w:val="DBDBDB"/>
        <w:docPartObj>
          <w:docPartGallery w:val="Table of Contents"/>
          <w:docPartUnique/>
        </w:docPartObj>
      </w:sdtPr>
      <w:sdtEndPr>
        <w:rPr>
          <w:rFonts w:hint="eastAsia" w:ascii="Times New Roman" w:hAnsi="Times New Roman" w:eastAsia="宋体" w:cs="Times New Roman"/>
          <w:sz w:val="24"/>
          <w:szCs w:val="24"/>
          <w:highlight w:val="none"/>
          <w:lang w:val="en-US" w:eastAsia="zh-CN" w:bidi="ar-SA"/>
        </w:rPr>
      </w:sdtEndPr>
      <w:sdtContent>
        <w:p w14:paraId="6D833261">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0886EE9">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textAlignment w:val="auto"/>
          </w:pPr>
          <w:r>
            <w:rPr>
              <w:rFonts w:hint="eastAsia" w:ascii="Times New Roman" w:hAnsi="Times New Roman" w:eastAsia="宋体" w:cs="Times New Roman"/>
              <w:sz w:val="24"/>
              <w:szCs w:val="24"/>
              <w:highlight w:val="none"/>
              <w:lang w:val="en-US" w:eastAsia="zh-CN" w:bidi="ar-SA"/>
            </w:rPr>
            <w:fldChar w:fldCharType="begin"/>
          </w:r>
          <w:r>
            <w:rPr>
              <w:rFonts w:hint="eastAsia" w:ascii="Times New Roman" w:hAnsi="Times New Roman" w:eastAsia="宋体" w:cs="Times New Roman"/>
              <w:sz w:val="24"/>
              <w:szCs w:val="24"/>
              <w:highlight w:val="none"/>
              <w:lang w:val="en-US" w:eastAsia="zh-CN" w:bidi="ar-SA"/>
            </w:rPr>
            <w:instrText xml:space="preserve">TOC \o "1-9" \h \u </w:instrText>
          </w:r>
          <w:r>
            <w:rPr>
              <w:rFonts w:hint="eastAsia" w:ascii="Times New Roman" w:hAnsi="Times New Roman" w:eastAsia="宋体" w:cs="Times New Roman"/>
              <w:sz w:val="24"/>
              <w:szCs w:val="24"/>
              <w:highlight w:val="none"/>
              <w:lang w:val="en-US" w:eastAsia="zh-CN" w:bidi="ar-SA"/>
            </w:rPr>
            <w:fldChar w:fldCharType="separate"/>
          </w: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_Toc20944 </w:instrText>
          </w:r>
          <w:r>
            <w:rPr>
              <w:rFonts w:hint="eastAsia" w:ascii="Times New Roman" w:hAnsi="Times New Roman" w:eastAsia="宋体" w:cs="Times New Roman"/>
              <w:szCs w:val="24"/>
              <w:highlight w:val="none"/>
              <w:lang w:val="en-US" w:eastAsia="zh-CN" w:bidi="ar-SA"/>
            </w:rPr>
            <w:fldChar w:fldCharType="separate"/>
          </w:r>
          <w:r>
            <w:rPr>
              <w:rFonts w:hint="eastAsia" w:ascii="黑体" w:hAnsi="黑体" w:eastAsia="黑体"/>
              <w:szCs w:val="36"/>
              <w:highlight w:val="none"/>
            </w:rPr>
            <w:t>第一章</w:t>
          </w:r>
          <w:r>
            <w:rPr>
              <w:rFonts w:ascii="黑体" w:hAnsi="黑体" w:eastAsia="黑体"/>
              <w:szCs w:val="36"/>
              <w:highlight w:val="none"/>
            </w:rPr>
            <w:t xml:space="preserve"> </w:t>
          </w:r>
          <w:r>
            <w:rPr>
              <w:rFonts w:hint="eastAsia" w:ascii="黑体" w:hAnsi="黑体" w:eastAsia="黑体"/>
              <w:szCs w:val="36"/>
              <w:highlight w:val="none"/>
            </w:rPr>
            <w:t xml:space="preserve"> 招标公告</w:t>
          </w:r>
          <w:r>
            <w:tab/>
          </w:r>
          <w:r>
            <w:fldChar w:fldCharType="begin"/>
          </w:r>
          <w:r>
            <w:instrText xml:space="preserve"> PAGEREF _Toc20944 \h </w:instrText>
          </w:r>
          <w:r>
            <w:fldChar w:fldCharType="separate"/>
          </w:r>
          <w:r>
            <w:t>1</w:t>
          </w:r>
          <w:r>
            <w:fldChar w:fldCharType="end"/>
          </w:r>
          <w:r>
            <w:rPr>
              <w:rFonts w:hint="eastAsia" w:ascii="Times New Roman" w:hAnsi="Times New Roman" w:eastAsia="宋体" w:cs="Times New Roman"/>
              <w:szCs w:val="24"/>
              <w:highlight w:val="none"/>
              <w:lang w:val="en-US" w:eastAsia="zh-CN" w:bidi="ar-SA"/>
            </w:rPr>
            <w:fldChar w:fldCharType="end"/>
          </w:r>
        </w:p>
        <w:p w14:paraId="09D979B7">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Cs w:val="24"/>
              <w:highlight w:val="none"/>
              <w:lang w:val="en-US" w:eastAsia="zh-CN" w:bidi="ar-SA"/>
            </w:rPr>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_Toc5970 </w:instrText>
          </w:r>
          <w:r>
            <w:rPr>
              <w:rFonts w:hint="eastAsia" w:ascii="Times New Roman" w:hAnsi="Times New Roman" w:eastAsia="宋体" w:cs="Times New Roman"/>
              <w:szCs w:val="24"/>
              <w:highlight w:val="none"/>
              <w:lang w:val="en-US" w:eastAsia="zh-CN" w:bidi="ar-SA"/>
            </w:rPr>
            <w:fldChar w:fldCharType="separate"/>
          </w:r>
          <w:r>
            <w:rPr>
              <w:rFonts w:hint="eastAsia" w:ascii="黑体" w:hAnsi="黑体" w:eastAsia="黑体" w:cs="黑体"/>
              <w:szCs w:val="24"/>
              <w:highlight w:val="none"/>
              <w:lang w:val="en-US" w:eastAsia="zh-CN" w:bidi="ar-SA"/>
            </w:rPr>
            <w:t>第二章  招标须知</w:t>
          </w:r>
          <w:r>
            <w:rPr>
              <w:rFonts w:hint="eastAsia" w:ascii="Times New Roman" w:hAnsi="Times New Roman" w:eastAsia="宋体" w:cs="Times New Roman"/>
              <w:szCs w:val="24"/>
              <w:highlight w:val="none"/>
              <w:lang w:val="en-US" w:eastAsia="zh-CN" w:bidi="ar-SA"/>
            </w:rPr>
            <w:tab/>
          </w: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PAGEREF _Toc5970 \h </w:instrText>
          </w:r>
          <w:r>
            <w:rPr>
              <w:rFonts w:hint="eastAsia" w:ascii="Times New Roman" w:hAnsi="Times New Roman" w:eastAsia="宋体" w:cs="Times New Roman"/>
              <w:szCs w:val="24"/>
              <w:highlight w:val="none"/>
              <w:lang w:val="en-US" w:eastAsia="zh-CN" w:bidi="ar-SA"/>
            </w:rPr>
            <w:fldChar w:fldCharType="separate"/>
          </w:r>
          <w:r>
            <w:rPr>
              <w:rFonts w:hint="eastAsia" w:ascii="Times New Roman" w:hAnsi="Times New Roman" w:eastAsia="宋体" w:cs="Times New Roman"/>
              <w:szCs w:val="24"/>
              <w:highlight w:val="none"/>
              <w:lang w:val="en-US" w:eastAsia="zh-CN" w:bidi="ar-SA"/>
            </w:rPr>
            <w:t>5</w:t>
          </w:r>
          <w:r>
            <w:rPr>
              <w:rFonts w:hint="eastAsia" w:ascii="Times New Roman" w:hAnsi="Times New Roman" w:eastAsia="宋体" w:cs="Times New Roman"/>
              <w:szCs w:val="24"/>
              <w:highlight w:val="none"/>
              <w:lang w:val="en-US" w:eastAsia="zh-CN" w:bidi="ar-SA"/>
            </w:rPr>
            <w:fldChar w:fldCharType="end"/>
          </w:r>
          <w:r>
            <w:rPr>
              <w:rFonts w:hint="eastAsia" w:ascii="Times New Roman" w:hAnsi="Times New Roman" w:eastAsia="宋体" w:cs="Times New Roman"/>
              <w:szCs w:val="24"/>
              <w:highlight w:val="none"/>
              <w:lang w:val="en-US" w:eastAsia="zh-CN" w:bidi="ar-SA"/>
            </w:rPr>
            <w:fldChar w:fldCharType="end"/>
          </w:r>
        </w:p>
        <w:p w14:paraId="3E2B7A55">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_Toc5134 </w:instrText>
          </w:r>
          <w:r>
            <w:rPr>
              <w:rFonts w:hint="eastAsia" w:ascii="Times New Roman" w:hAnsi="Times New Roman" w:eastAsia="宋体" w:cs="Times New Roman"/>
              <w:szCs w:val="24"/>
              <w:highlight w:val="none"/>
              <w:lang w:val="en-US" w:eastAsia="zh-CN" w:bidi="ar-SA"/>
            </w:rPr>
            <w:fldChar w:fldCharType="separate"/>
          </w:r>
          <w:r>
            <w:rPr>
              <w:rFonts w:hint="eastAsia"/>
              <w:bCs w:val="0"/>
              <w:highlight w:val="none"/>
            </w:rPr>
            <w:t>1.总则</w:t>
          </w:r>
          <w:r>
            <w:tab/>
          </w:r>
          <w:r>
            <w:fldChar w:fldCharType="begin"/>
          </w:r>
          <w:r>
            <w:instrText xml:space="preserve"> PAGEREF _Toc5134 \h </w:instrText>
          </w:r>
          <w:r>
            <w:fldChar w:fldCharType="separate"/>
          </w:r>
          <w:r>
            <w:t>8</w:t>
          </w:r>
          <w:r>
            <w:fldChar w:fldCharType="end"/>
          </w:r>
          <w:r>
            <w:rPr>
              <w:rFonts w:hint="eastAsia" w:ascii="Times New Roman" w:hAnsi="Times New Roman" w:eastAsia="宋体" w:cs="Times New Roman"/>
              <w:szCs w:val="24"/>
              <w:highlight w:val="none"/>
              <w:lang w:val="en-US" w:eastAsia="zh-CN" w:bidi="ar-SA"/>
            </w:rPr>
            <w:fldChar w:fldCharType="end"/>
          </w:r>
        </w:p>
        <w:p w14:paraId="54BF5D0C">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_Toc9367 </w:instrText>
          </w:r>
          <w:r>
            <w:rPr>
              <w:rFonts w:hint="eastAsia" w:ascii="Times New Roman" w:hAnsi="Times New Roman" w:eastAsia="宋体" w:cs="Times New Roman"/>
              <w:szCs w:val="24"/>
              <w:highlight w:val="none"/>
              <w:lang w:val="en-US" w:eastAsia="zh-CN" w:bidi="ar-SA"/>
            </w:rPr>
            <w:fldChar w:fldCharType="separate"/>
          </w:r>
          <w:r>
            <w:rPr>
              <w:rFonts w:hint="eastAsia"/>
              <w:bCs/>
              <w:highlight w:val="none"/>
            </w:rPr>
            <w:t>2.招标文件</w:t>
          </w:r>
          <w:r>
            <w:tab/>
          </w:r>
          <w:r>
            <w:fldChar w:fldCharType="begin"/>
          </w:r>
          <w:r>
            <w:instrText xml:space="preserve"> PAGEREF _Toc9367 \h </w:instrText>
          </w:r>
          <w:r>
            <w:fldChar w:fldCharType="separate"/>
          </w:r>
          <w:r>
            <w:t>10</w:t>
          </w:r>
          <w:r>
            <w:fldChar w:fldCharType="end"/>
          </w:r>
          <w:r>
            <w:rPr>
              <w:rFonts w:hint="eastAsia" w:ascii="Times New Roman" w:hAnsi="Times New Roman" w:eastAsia="宋体" w:cs="Times New Roman"/>
              <w:szCs w:val="24"/>
              <w:highlight w:val="none"/>
              <w:lang w:val="en-US" w:eastAsia="zh-CN" w:bidi="ar-SA"/>
            </w:rPr>
            <w:fldChar w:fldCharType="end"/>
          </w:r>
        </w:p>
        <w:p w14:paraId="41123A40">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_Toc10186 </w:instrText>
          </w:r>
          <w:r>
            <w:rPr>
              <w:rFonts w:hint="eastAsia" w:ascii="Times New Roman" w:hAnsi="Times New Roman" w:eastAsia="宋体" w:cs="Times New Roman"/>
              <w:szCs w:val="24"/>
              <w:highlight w:val="none"/>
              <w:lang w:val="en-US" w:eastAsia="zh-CN" w:bidi="ar-SA"/>
            </w:rPr>
            <w:fldChar w:fldCharType="separate"/>
          </w:r>
          <w:r>
            <w:rPr>
              <w:rFonts w:hint="eastAsia"/>
              <w:highlight w:val="none"/>
            </w:rPr>
            <w:t>3</w:t>
          </w:r>
          <w:r>
            <w:rPr>
              <w:rFonts w:hint="eastAsia"/>
              <w:highlight w:val="none"/>
              <w:lang w:val="en-US" w:eastAsia="zh-CN"/>
            </w:rPr>
            <w:t>.</w:t>
          </w:r>
          <w:r>
            <w:rPr>
              <w:rFonts w:hint="eastAsia"/>
              <w:highlight w:val="none"/>
            </w:rPr>
            <w:t>投标文件</w:t>
          </w:r>
          <w:r>
            <w:tab/>
          </w:r>
          <w:r>
            <w:fldChar w:fldCharType="begin"/>
          </w:r>
          <w:r>
            <w:instrText xml:space="preserve"> PAGEREF _Toc10186 \h </w:instrText>
          </w:r>
          <w:r>
            <w:fldChar w:fldCharType="separate"/>
          </w:r>
          <w:r>
            <w:t>11</w:t>
          </w:r>
          <w:r>
            <w:fldChar w:fldCharType="end"/>
          </w:r>
          <w:r>
            <w:rPr>
              <w:rFonts w:hint="eastAsia" w:ascii="Times New Roman" w:hAnsi="Times New Roman" w:eastAsia="宋体" w:cs="Times New Roman"/>
              <w:szCs w:val="24"/>
              <w:highlight w:val="none"/>
              <w:lang w:val="en-US" w:eastAsia="zh-CN" w:bidi="ar-SA"/>
            </w:rPr>
            <w:fldChar w:fldCharType="end"/>
          </w:r>
        </w:p>
        <w:p w14:paraId="107104B2">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_Toc19825 </w:instrText>
          </w:r>
          <w:r>
            <w:rPr>
              <w:rFonts w:hint="eastAsia" w:ascii="Times New Roman" w:hAnsi="Times New Roman" w:eastAsia="宋体" w:cs="Times New Roman"/>
              <w:szCs w:val="24"/>
              <w:highlight w:val="none"/>
              <w:lang w:val="en-US" w:eastAsia="zh-CN" w:bidi="ar-SA"/>
            </w:rPr>
            <w:fldChar w:fldCharType="separate"/>
          </w:r>
          <w:r>
            <w:rPr>
              <w:rFonts w:hint="eastAsia"/>
              <w:highlight w:val="none"/>
            </w:rPr>
            <w:t>4.投标</w:t>
          </w:r>
          <w:r>
            <w:tab/>
          </w:r>
          <w:r>
            <w:fldChar w:fldCharType="begin"/>
          </w:r>
          <w:r>
            <w:instrText xml:space="preserve"> PAGEREF _Toc19825 \h </w:instrText>
          </w:r>
          <w:r>
            <w:fldChar w:fldCharType="separate"/>
          </w:r>
          <w:r>
            <w:t>13</w:t>
          </w:r>
          <w:r>
            <w:fldChar w:fldCharType="end"/>
          </w:r>
          <w:r>
            <w:rPr>
              <w:rFonts w:hint="eastAsia" w:ascii="Times New Roman" w:hAnsi="Times New Roman" w:eastAsia="宋体" w:cs="Times New Roman"/>
              <w:szCs w:val="24"/>
              <w:highlight w:val="none"/>
              <w:lang w:val="en-US" w:eastAsia="zh-CN" w:bidi="ar-SA"/>
            </w:rPr>
            <w:fldChar w:fldCharType="end"/>
          </w:r>
        </w:p>
        <w:p w14:paraId="0E48E8CC">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_Toc21061 </w:instrText>
          </w:r>
          <w:r>
            <w:rPr>
              <w:rFonts w:hint="eastAsia" w:ascii="Times New Roman" w:hAnsi="Times New Roman" w:eastAsia="宋体" w:cs="Times New Roman"/>
              <w:szCs w:val="24"/>
              <w:highlight w:val="none"/>
              <w:lang w:val="en-US" w:eastAsia="zh-CN" w:bidi="ar-SA"/>
            </w:rPr>
            <w:fldChar w:fldCharType="separate"/>
          </w:r>
          <w:r>
            <w:rPr>
              <w:rFonts w:hint="eastAsia"/>
              <w:bCs/>
              <w:highlight w:val="none"/>
            </w:rPr>
            <w:t>5.开标</w:t>
          </w:r>
          <w:r>
            <w:tab/>
          </w:r>
          <w:r>
            <w:fldChar w:fldCharType="begin"/>
          </w:r>
          <w:r>
            <w:instrText xml:space="preserve"> PAGEREF _Toc21061 \h </w:instrText>
          </w:r>
          <w:r>
            <w:fldChar w:fldCharType="separate"/>
          </w:r>
          <w:r>
            <w:t>14</w:t>
          </w:r>
          <w:r>
            <w:fldChar w:fldCharType="end"/>
          </w:r>
          <w:r>
            <w:rPr>
              <w:rFonts w:hint="eastAsia" w:ascii="Times New Roman" w:hAnsi="Times New Roman" w:eastAsia="宋体" w:cs="Times New Roman"/>
              <w:szCs w:val="24"/>
              <w:highlight w:val="none"/>
              <w:lang w:val="en-US" w:eastAsia="zh-CN" w:bidi="ar-SA"/>
            </w:rPr>
            <w:fldChar w:fldCharType="end"/>
          </w:r>
        </w:p>
        <w:p w14:paraId="1C0918D8">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_Toc27963 </w:instrText>
          </w:r>
          <w:r>
            <w:rPr>
              <w:rFonts w:hint="eastAsia" w:ascii="Times New Roman" w:hAnsi="Times New Roman" w:eastAsia="宋体" w:cs="Times New Roman"/>
              <w:szCs w:val="24"/>
              <w:highlight w:val="none"/>
              <w:lang w:val="en-US" w:eastAsia="zh-CN" w:bidi="ar-SA"/>
            </w:rPr>
            <w:fldChar w:fldCharType="separate"/>
          </w:r>
          <w:r>
            <w:rPr>
              <w:rFonts w:hint="eastAsia"/>
              <w:bCs/>
              <w:highlight w:val="none"/>
            </w:rPr>
            <w:t>6.评标</w:t>
          </w:r>
          <w:r>
            <w:tab/>
          </w:r>
          <w:r>
            <w:fldChar w:fldCharType="begin"/>
          </w:r>
          <w:r>
            <w:instrText xml:space="preserve"> PAGEREF _Toc27963 \h </w:instrText>
          </w:r>
          <w:r>
            <w:fldChar w:fldCharType="separate"/>
          </w:r>
          <w:r>
            <w:t>14</w:t>
          </w:r>
          <w:r>
            <w:fldChar w:fldCharType="end"/>
          </w:r>
          <w:r>
            <w:rPr>
              <w:rFonts w:hint="eastAsia" w:ascii="Times New Roman" w:hAnsi="Times New Roman" w:eastAsia="宋体" w:cs="Times New Roman"/>
              <w:szCs w:val="24"/>
              <w:highlight w:val="none"/>
              <w:lang w:val="en-US" w:eastAsia="zh-CN" w:bidi="ar-SA"/>
            </w:rPr>
            <w:fldChar w:fldCharType="end"/>
          </w:r>
        </w:p>
        <w:p w14:paraId="72C32931">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_Toc589 </w:instrText>
          </w:r>
          <w:r>
            <w:rPr>
              <w:rFonts w:hint="eastAsia" w:ascii="Times New Roman" w:hAnsi="Times New Roman" w:eastAsia="宋体" w:cs="Times New Roman"/>
              <w:szCs w:val="24"/>
              <w:highlight w:val="none"/>
              <w:lang w:val="en-US" w:eastAsia="zh-CN" w:bidi="ar-SA"/>
            </w:rPr>
            <w:fldChar w:fldCharType="separate"/>
          </w:r>
          <w:r>
            <w:rPr>
              <w:rFonts w:hint="eastAsia"/>
              <w:bCs/>
              <w:highlight w:val="none"/>
            </w:rPr>
            <w:t>7.合同授予</w:t>
          </w:r>
          <w:r>
            <w:tab/>
          </w:r>
          <w:r>
            <w:fldChar w:fldCharType="begin"/>
          </w:r>
          <w:r>
            <w:instrText xml:space="preserve"> PAGEREF _Toc589 \h </w:instrText>
          </w:r>
          <w:r>
            <w:fldChar w:fldCharType="separate"/>
          </w:r>
          <w:r>
            <w:t>15</w:t>
          </w:r>
          <w:r>
            <w:fldChar w:fldCharType="end"/>
          </w:r>
          <w:r>
            <w:rPr>
              <w:rFonts w:hint="eastAsia" w:ascii="Times New Roman" w:hAnsi="Times New Roman" w:eastAsia="宋体" w:cs="Times New Roman"/>
              <w:szCs w:val="24"/>
              <w:highlight w:val="none"/>
              <w:lang w:val="en-US" w:eastAsia="zh-CN" w:bidi="ar-SA"/>
            </w:rPr>
            <w:fldChar w:fldCharType="end"/>
          </w:r>
        </w:p>
        <w:p w14:paraId="60DCE056">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_Toc7427 </w:instrText>
          </w:r>
          <w:r>
            <w:rPr>
              <w:rFonts w:hint="eastAsia" w:ascii="Times New Roman" w:hAnsi="Times New Roman" w:eastAsia="宋体" w:cs="Times New Roman"/>
              <w:szCs w:val="24"/>
              <w:highlight w:val="none"/>
              <w:lang w:val="en-US" w:eastAsia="zh-CN" w:bidi="ar-SA"/>
            </w:rPr>
            <w:fldChar w:fldCharType="separate"/>
          </w:r>
          <w:r>
            <w:rPr>
              <w:rFonts w:hint="eastAsia"/>
              <w:bCs/>
              <w:highlight w:val="none"/>
            </w:rPr>
            <w:t>8.重新招标</w:t>
          </w:r>
          <w:r>
            <w:tab/>
          </w:r>
          <w:r>
            <w:fldChar w:fldCharType="begin"/>
          </w:r>
          <w:r>
            <w:instrText xml:space="preserve"> PAGEREF _Toc7427 \h </w:instrText>
          </w:r>
          <w:r>
            <w:fldChar w:fldCharType="separate"/>
          </w:r>
          <w:r>
            <w:t>17</w:t>
          </w:r>
          <w:r>
            <w:fldChar w:fldCharType="end"/>
          </w:r>
          <w:r>
            <w:rPr>
              <w:rFonts w:hint="eastAsia" w:ascii="Times New Roman" w:hAnsi="Times New Roman" w:eastAsia="宋体" w:cs="Times New Roman"/>
              <w:szCs w:val="24"/>
              <w:highlight w:val="none"/>
              <w:lang w:val="en-US" w:eastAsia="zh-CN" w:bidi="ar-SA"/>
            </w:rPr>
            <w:fldChar w:fldCharType="end"/>
          </w:r>
        </w:p>
        <w:p w14:paraId="4925031C">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_Toc11957 </w:instrText>
          </w:r>
          <w:r>
            <w:rPr>
              <w:rFonts w:hint="eastAsia" w:ascii="Times New Roman" w:hAnsi="Times New Roman" w:eastAsia="宋体" w:cs="Times New Roman"/>
              <w:szCs w:val="24"/>
              <w:highlight w:val="none"/>
              <w:lang w:val="en-US" w:eastAsia="zh-CN" w:bidi="ar-SA"/>
            </w:rPr>
            <w:fldChar w:fldCharType="separate"/>
          </w:r>
          <w:r>
            <w:rPr>
              <w:bCs/>
              <w:highlight w:val="none"/>
            </w:rPr>
            <w:t xml:space="preserve">9. </w:t>
          </w:r>
          <w:r>
            <w:rPr>
              <w:rFonts w:hint="eastAsia"/>
              <w:bCs/>
              <w:highlight w:val="none"/>
            </w:rPr>
            <w:t>纪律和监督</w:t>
          </w:r>
          <w:r>
            <w:tab/>
          </w:r>
          <w:r>
            <w:fldChar w:fldCharType="begin"/>
          </w:r>
          <w:r>
            <w:instrText xml:space="preserve"> PAGEREF _Toc11957 \h </w:instrText>
          </w:r>
          <w:r>
            <w:fldChar w:fldCharType="separate"/>
          </w:r>
          <w:r>
            <w:t>17</w:t>
          </w:r>
          <w:r>
            <w:fldChar w:fldCharType="end"/>
          </w:r>
          <w:r>
            <w:rPr>
              <w:rFonts w:hint="eastAsia" w:ascii="Times New Roman" w:hAnsi="Times New Roman" w:eastAsia="宋体" w:cs="Times New Roman"/>
              <w:szCs w:val="24"/>
              <w:highlight w:val="none"/>
              <w:lang w:val="en-US" w:eastAsia="zh-CN" w:bidi="ar-SA"/>
            </w:rPr>
            <w:fldChar w:fldCharType="end"/>
          </w:r>
        </w:p>
        <w:p w14:paraId="7ACD4F34">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_Toc11493 </w:instrText>
          </w:r>
          <w:r>
            <w:rPr>
              <w:rFonts w:hint="eastAsia" w:ascii="Times New Roman" w:hAnsi="Times New Roman" w:eastAsia="宋体" w:cs="Times New Roman"/>
              <w:szCs w:val="24"/>
              <w:highlight w:val="none"/>
              <w:lang w:val="en-US" w:eastAsia="zh-CN" w:bidi="ar-SA"/>
            </w:rPr>
            <w:fldChar w:fldCharType="separate"/>
          </w:r>
          <w:r>
            <w:rPr>
              <w:bCs/>
              <w:highlight w:val="none"/>
            </w:rPr>
            <w:t xml:space="preserve">10. </w:t>
          </w:r>
          <w:r>
            <w:rPr>
              <w:rFonts w:hint="eastAsia"/>
              <w:bCs/>
              <w:highlight w:val="none"/>
            </w:rPr>
            <w:t>需要补充的其他内容</w:t>
          </w:r>
          <w:r>
            <w:tab/>
          </w:r>
          <w:r>
            <w:fldChar w:fldCharType="begin"/>
          </w:r>
          <w:r>
            <w:instrText xml:space="preserve"> PAGEREF _Toc11493 \h </w:instrText>
          </w:r>
          <w:r>
            <w:fldChar w:fldCharType="separate"/>
          </w:r>
          <w:r>
            <w:t>17</w:t>
          </w:r>
          <w:r>
            <w:fldChar w:fldCharType="end"/>
          </w:r>
          <w:r>
            <w:rPr>
              <w:rFonts w:hint="eastAsia" w:ascii="Times New Roman" w:hAnsi="Times New Roman" w:eastAsia="宋体" w:cs="Times New Roman"/>
              <w:szCs w:val="24"/>
              <w:highlight w:val="none"/>
              <w:lang w:val="en-US" w:eastAsia="zh-CN" w:bidi="ar-SA"/>
            </w:rPr>
            <w:fldChar w:fldCharType="end"/>
          </w:r>
        </w:p>
        <w:p w14:paraId="5D304516">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_Toc11016 </w:instrText>
          </w:r>
          <w:r>
            <w:rPr>
              <w:rFonts w:hint="eastAsia" w:ascii="Times New Roman" w:hAnsi="Times New Roman" w:eastAsia="宋体" w:cs="Times New Roman"/>
              <w:szCs w:val="24"/>
              <w:highlight w:val="none"/>
              <w:lang w:val="en-US" w:eastAsia="zh-CN" w:bidi="ar-SA"/>
            </w:rPr>
            <w:fldChar w:fldCharType="separate"/>
          </w:r>
          <w:r>
            <w:rPr>
              <w:rFonts w:hint="eastAsia" w:ascii="黑体" w:hAnsi="黑体" w:eastAsia="黑体" w:cs="黑体"/>
              <w:highlight w:val="none"/>
            </w:rPr>
            <w:t>第三章  评标办法</w:t>
          </w:r>
          <w:r>
            <w:tab/>
          </w:r>
          <w:r>
            <w:fldChar w:fldCharType="begin"/>
          </w:r>
          <w:r>
            <w:instrText xml:space="preserve"> PAGEREF _Toc11016 \h </w:instrText>
          </w:r>
          <w:r>
            <w:fldChar w:fldCharType="separate"/>
          </w:r>
          <w:r>
            <w:t>18</w:t>
          </w:r>
          <w:r>
            <w:fldChar w:fldCharType="end"/>
          </w:r>
          <w:r>
            <w:rPr>
              <w:rFonts w:hint="eastAsia" w:ascii="Times New Roman" w:hAnsi="Times New Roman" w:eastAsia="宋体" w:cs="Times New Roman"/>
              <w:szCs w:val="24"/>
              <w:highlight w:val="none"/>
              <w:lang w:val="en-US" w:eastAsia="zh-CN" w:bidi="ar-SA"/>
            </w:rPr>
            <w:fldChar w:fldCharType="end"/>
          </w:r>
        </w:p>
        <w:p w14:paraId="7C673447">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_Toc22698 </w:instrText>
          </w:r>
          <w:r>
            <w:rPr>
              <w:rFonts w:hint="eastAsia" w:ascii="Times New Roman" w:hAnsi="Times New Roman" w:eastAsia="宋体" w:cs="Times New Roman"/>
              <w:szCs w:val="24"/>
              <w:highlight w:val="none"/>
              <w:lang w:val="en-US" w:eastAsia="zh-CN" w:bidi="ar-SA"/>
            </w:rPr>
            <w:fldChar w:fldCharType="separate"/>
          </w:r>
          <w:r>
            <w:rPr>
              <w:rFonts w:hint="eastAsia" w:cs="仿宋"/>
              <w:highlight w:val="none"/>
              <w:lang w:val="en-US" w:eastAsia="zh-CN"/>
            </w:rPr>
            <w:t>1.</w:t>
          </w:r>
          <w:r>
            <w:rPr>
              <w:rFonts w:hint="eastAsia" w:cs="仿宋"/>
              <w:highlight w:val="none"/>
            </w:rPr>
            <w:t>评标方法</w:t>
          </w:r>
          <w:r>
            <w:tab/>
          </w:r>
          <w:r>
            <w:fldChar w:fldCharType="begin"/>
          </w:r>
          <w:r>
            <w:instrText xml:space="preserve"> PAGEREF _Toc22698 \h </w:instrText>
          </w:r>
          <w:r>
            <w:fldChar w:fldCharType="separate"/>
          </w:r>
          <w:r>
            <w:t>18</w:t>
          </w:r>
          <w:r>
            <w:fldChar w:fldCharType="end"/>
          </w:r>
          <w:r>
            <w:rPr>
              <w:rFonts w:hint="eastAsia" w:ascii="Times New Roman" w:hAnsi="Times New Roman" w:eastAsia="宋体" w:cs="Times New Roman"/>
              <w:szCs w:val="24"/>
              <w:highlight w:val="none"/>
              <w:lang w:val="en-US" w:eastAsia="zh-CN" w:bidi="ar-SA"/>
            </w:rPr>
            <w:fldChar w:fldCharType="end"/>
          </w:r>
        </w:p>
        <w:p w14:paraId="54EEBAFB">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_Toc594 </w:instrText>
          </w:r>
          <w:r>
            <w:rPr>
              <w:rFonts w:hint="eastAsia" w:ascii="Times New Roman" w:hAnsi="Times New Roman" w:eastAsia="宋体" w:cs="Times New Roman"/>
              <w:szCs w:val="24"/>
              <w:highlight w:val="none"/>
              <w:lang w:val="en-US" w:eastAsia="zh-CN" w:bidi="ar-SA"/>
            </w:rPr>
            <w:fldChar w:fldCharType="separate"/>
          </w:r>
          <w:r>
            <w:rPr>
              <w:rFonts w:hint="eastAsia" w:cs="仿宋"/>
              <w:bCs/>
              <w:highlight w:val="none"/>
              <w:lang w:val="en-US" w:eastAsia="zh-CN"/>
            </w:rPr>
            <w:t>2.</w:t>
          </w:r>
          <w:r>
            <w:rPr>
              <w:rFonts w:hint="eastAsia" w:cs="仿宋"/>
              <w:bCs/>
              <w:highlight w:val="none"/>
            </w:rPr>
            <w:t>评标原则</w:t>
          </w:r>
          <w:r>
            <w:tab/>
          </w:r>
          <w:r>
            <w:fldChar w:fldCharType="begin"/>
          </w:r>
          <w:r>
            <w:instrText xml:space="preserve"> PAGEREF _Toc594 \h </w:instrText>
          </w:r>
          <w:r>
            <w:fldChar w:fldCharType="separate"/>
          </w:r>
          <w:r>
            <w:t>18</w:t>
          </w:r>
          <w:r>
            <w:fldChar w:fldCharType="end"/>
          </w:r>
          <w:r>
            <w:rPr>
              <w:rFonts w:hint="eastAsia" w:ascii="Times New Roman" w:hAnsi="Times New Roman" w:eastAsia="宋体" w:cs="Times New Roman"/>
              <w:szCs w:val="24"/>
              <w:highlight w:val="none"/>
              <w:lang w:val="en-US" w:eastAsia="zh-CN" w:bidi="ar-SA"/>
            </w:rPr>
            <w:fldChar w:fldCharType="end"/>
          </w:r>
        </w:p>
        <w:p w14:paraId="47A44D9C">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_Toc11677 </w:instrText>
          </w:r>
          <w:r>
            <w:rPr>
              <w:rFonts w:hint="eastAsia" w:ascii="Times New Roman" w:hAnsi="Times New Roman" w:eastAsia="宋体" w:cs="Times New Roman"/>
              <w:szCs w:val="24"/>
              <w:highlight w:val="none"/>
              <w:lang w:val="en-US" w:eastAsia="zh-CN" w:bidi="ar-SA"/>
            </w:rPr>
            <w:fldChar w:fldCharType="separate"/>
          </w:r>
          <w:r>
            <w:rPr>
              <w:rFonts w:hint="eastAsia" w:cs="仿宋"/>
              <w:bCs/>
              <w:highlight w:val="none"/>
              <w:lang w:val="en-US" w:eastAsia="zh-CN"/>
            </w:rPr>
            <w:t>3.</w:t>
          </w:r>
          <w:r>
            <w:rPr>
              <w:rFonts w:hint="eastAsia" w:cs="仿宋"/>
              <w:bCs/>
              <w:highlight w:val="none"/>
            </w:rPr>
            <w:t>评标组织及服务</w:t>
          </w:r>
          <w:r>
            <w:tab/>
          </w:r>
          <w:r>
            <w:fldChar w:fldCharType="begin"/>
          </w:r>
          <w:r>
            <w:instrText xml:space="preserve"> PAGEREF _Toc11677 \h </w:instrText>
          </w:r>
          <w:r>
            <w:fldChar w:fldCharType="separate"/>
          </w:r>
          <w:r>
            <w:t>18</w:t>
          </w:r>
          <w:r>
            <w:fldChar w:fldCharType="end"/>
          </w:r>
          <w:r>
            <w:rPr>
              <w:rFonts w:hint="eastAsia" w:ascii="Times New Roman" w:hAnsi="Times New Roman" w:eastAsia="宋体" w:cs="Times New Roman"/>
              <w:szCs w:val="24"/>
              <w:highlight w:val="none"/>
              <w:lang w:val="en-US" w:eastAsia="zh-CN" w:bidi="ar-SA"/>
            </w:rPr>
            <w:fldChar w:fldCharType="end"/>
          </w:r>
        </w:p>
        <w:p w14:paraId="72EFF202">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_Toc13528 </w:instrText>
          </w:r>
          <w:r>
            <w:rPr>
              <w:rFonts w:hint="eastAsia" w:ascii="Times New Roman" w:hAnsi="Times New Roman" w:eastAsia="宋体" w:cs="Times New Roman"/>
              <w:szCs w:val="24"/>
              <w:highlight w:val="none"/>
              <w:lang w:val="en-US" w:eastAsia="zh-CN" w:bidi="ar-SA"/>
            </w:rPr>
            <w:fldChar w:fldCharType="separate"/>
          </w:r>
          <w:r>
            <w:rPr>
              <w:rFonts w:hint="eastAsia" w:cs="仿宋"/>
              <w:bCs/>
              <w:highlight w:val="none"/>
              <w:lang w:val="en-US" w:eastAsia="zh-CN"/>
            </w:rPr>
            <w:t>4.</w:t>
          </w:r>
          <w:r>
            <w:rPr>
              <w:rFonts w:hint="eastAsia" w:cs="仿宋"/>
              <w:bCs/>
              <w:highlight w:val="none"/>
            </w:rPr>
            <w:t>评标程序及内容</w:t>
          </w:r>
          <w:r>
            <w:tab/>
          </w:r>
          <w:r>
            <w:fldChar w:fldCharType="begin"/>
          </w:r>
          <w:r>
            <w:instrText xml:space="preserve"> PAGEREF _Toc13528 \h </w:instrText>
          </w:r>
          <w:r>
            <w:fldChar w:fldCharType="separate"/>
          </w:r>
          <w:r>
            <w:t>18</w:t>
          </w:r>
          <w:r>
            <w:fldChar w:fldCharType="end"/>
          </w:r>
          <w:r>
            <w:rPr>
              <w:rFonts w:hint="eastAsia" w:ascii="Times New Roman" w:hAnsi="Times New Roman" w:eastAsia="宋体" w:cs="Times New Roman"/>
              <w:szCs w:val="24"/>
              <w:highlight w:val="none"/>
              <w:lang w:val="en-US" w:eastAsia="zh-CN" w:bidi="ar-SA"/>
            </w:rPr>
            <w:fldChar w:fldCharType="end"/>
          </w:r>
        </w:p>
        <w:p w14:paraId="167E0575">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_Toc24033 </w:instrText>
          </w:r>
          <w:r>
            <w:rPr>
              <w:rFonts w:hint="eastAsia" w:ascii="Times New Roman" w:hAnsi="Times New Roman" w:eastAsia="宋体" w:cs="Times New Roman"/>
              <w:szCs w:val="24"/>
              <w:highlight w:val="none"/>
              <w:lang w:val="en-US" w:eastAsia="zh-CN" w:bidi="ar-SA"/>
            </w:rPr>
            <w:fldChar w:fldCharType="separate"/>
          </w:r>
          <w:r>
            <w:rPr>
              <w:rFonts w:hint="eastAsia" w:cs="仿宋"/>
              <w:bCs/>
              <w:highlight w:val="none"/>
              <w:lang w:val="en-US" w:eastAsia="zh-CN"/>
            </w:rPr>
            <w:t>5.</w:t>
          </w:r>
          <w:r>
            <w:rPr>
              <w:rFonts w:hint="eastAsia" w:cs="仿宋"/>
              <w:bCs/>
              <w:highlight w:val="none"/>
            </w:rPr>
            <w:t>评标报告</w:t>
          </w:r>
          <w:r>
            <w:tab/>
          </w:r>
          <w:r>
            <w:fldChar w:fldCharType="begin"/>
          </w:r>
          <w:r>
            <w:instrText xml:space="preserve"> PAGEREF _Toc24033 \h </w:instrText>
          </w:r>
          <w:r>
            <w:fldChar w:fldCharType="separate"/>
          </w:r>
          <w:r>
            <w:t>18</w:t>
          </w:r>
          <w:r>
            <w:fldChar w:fldCharType="end"/>
          </w:r>
          <w:r>
            <w:rPr>
              <w:rFonts w:hint="eastAsia" w:ascii="Times New Roman" w:hAnsi="Times New Roman" w:eastAsia="宋体" w:cs="Times New Roman"/>
              <w:szCs w:val="24"/>
              <w:highlight w:val="none"/>
              <w:lang w:val="en-US" w:eastAsia="zh-CN" w:bidi="ar-SA"/>
            </w:rPr>
            <w:fldChar w:fldCharType="end"/>
          </w:r>
        </w:p>
        <w:p w14:paraId="70A8A078">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_Toc13121 </w:instrText>
          </w:r>
          <w:r>
            <w:rPr>
              <w:rFonts w:hint="eastAsia" w:ascii="Times New Roman" w:hAnsi="Times New Roman" w:eastAsia="宋体" w:cs="Times New Roman"/>
              <w:szCs w:val="24"/>
              <w:highlight w:val="none"/>
              <w:lang w:val="en-US" w:eastAsia="zh-CN" w:bidi="ar-SA"/>
            </w:rPr>
            <w:fldChar w:fldCharType="separate"/>
          </w:r>
          <w:r>
            <w:rPr>
              <w:rFonts w:hint="eastAsia" w:ascii="Times New Roman" w:hAnsi="Times New Roman" w:eastAsia="黑体" w:cs="Times New Roman"/>
              <w:bCs w:val="0"/>
              <w:kern w:val="0"/>
              <w:szCs w:val="21"/>
              <w:highlight w:val="none"/>
              <w:lang w:val="en-US" w:eastAsia="zh-CN" w:bidi="ar-SA"/>
            </w:rPr>
            <w:t>第四章</w:t>
          </w:r>
          <w:r>
            <w:rPr>
              <w:rFonts w:hint="eastAsia" w:ascii="Times New Roman" w:hAnsi="Times New Roman" w:cs="Times New Roman"/>
              <w:bCs w:val="0"/>
              <w:kern w:val="0"/>
              <w:szCs w:val="21"/>
              <w:highlight w:val="none"/>
              <w:lang w:val="en-US" w:eastAsia="zh-CN" w:bidi="ar-SA"/>
            </w:rPr>
            <w:t xml:space="preserve"> </w:t>
          </w:r>
          <w:r>
            <w:rPr>
              <w:rFonts w:hint="eastAsia" w:cs="Times New Roman"/>
              <w:bCs w:val="0"/>
              <w:kern w:val="0"/>
              <w:szCs w:val="21"/>
              <w:highlight w:val="none"/>
              <w:lang w:val="en-US" w:eastAsia="zh-CN" w:bidi="ar-SA"/>
            </w:rPr>
            <w:t xml:space="preserve"> </w:t>
          </w:r>
          <w:r>
            <w:rPr>
              <w:rFonts w:hint="eastAsia" w:ascii="Times New Roman" w:hAnsi="Times New Roman" w:eastAsia="黑体" w:cs="Times New Roman"/>
              <w:bCs w:val="0"/>
              <w:kern w:val="0"/>
              <w:szCs w:val="21"/>
              <w:highlight w:val="none"/>
              <w:lang w:val="en-US" w:eastAsia="zh-CN" w:bidi="ar-SA"/>
            </w:rPr>
            <w:t>技术要求</w:t>
          </w:r>
          <w:r>
            <w:tab/>
          </w:r>
          <w:r>
            <w:fldChar w:fldCharType="begin"/>
          </w:r>
          <w:r>
            <w:instrText xml:space="preserve"> PAGEREF _Toc13121 \h </w:instrText>
          </w:r>
          <w:r>
            <w:fldChar w:fldCharType="separate"/>
          </w:r>
          <w:r>
            <w:t>23</w:t>
          </w:r>
          <w:r>
            <w:fldChar w:fldCharType="end"/>
          </w:r>
          <w:r>
            <w:rPr>
              <w:rFonts w:hint="eastAsia" w:ascii="Times New Roman" w:hAnsi="Times New Roman" w:eastAsia="宋体" w:cs="Times New Roman"/>
              <w:szCs w:val="24"/>
              <w:highlight w:val="none"/>
              <w:lang w:val="en-US" w:eastAsia="zh-CN" w:bidi="ar-SA"/>
            </w:rPr>
            <w:fldChar w:fldCharType="end"/>
          </w:r>
        </w:p>
        <w:p w14:paraId="6179A99D">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_Toc5347 </w:instrText>
          </w:r>
          <w:r>
            <w:rPr>
              <w:rFonts w:hint="eastAsia" w:ascii="Times New Roman" w:hAnsi="Times New Roman" w:eastAsia="宋体" w:cs="Times New Roman"/>
              <w:szCs w:val="24"/>
              <w:highlight w:val="none"/>
              <w:lang w:val="en-US" w:eastAsia="zh-CN" w:bidi="ar-SA"/>
            </w:rPr>
            <w:fldChar w:fldCharType="separate"/>
          </w:r>
          <w:r>
            <w:rPr>
              <w:rFonts w:hint="eastAsia" w:ascii="黑体" w:hAnsi="黑体" w:eastAsia="黑体" w:cs="黑体"/>
              <w:kern w:val="0"/>
              <w:szCs w:val="21"/>
              <w:highlight w:val="none"/>
            </w:rPr>
            <w:t>第</w:t>
          </w:r>
          <w:r>
            <w:rPr>
              <w:rFonts w:hint="eastAsia" w:ascii="黑体" w:hAnsi="黑体" w:eastAsia="黑体" w:cs="黑体"/>
              <w:kern w:val="0"/>
              <w:szCs w:val="21"/>
              <w:highlight w:val="none"/>
              <w:lang w:val="en-US" w:eastAsia="zh-CN"/>
            </w:rPr>
            <w:t>五</w:t>
          </w:r>
          <w:r>
            <w:rPr>
              <w:rFonts w:hint="eastAsia" w:ascii="黑体" w:hAnsi="黑体" w:eastAsia="黑体" w:cs="黑体"/>
              <w:kern w:val="0"/>
              <w:szCs w:val="21"/>
              <w:highlight w:val="none"/>
            </w:rPr>
            <w:t>章</w:t>
          </w:r>
          <w:r>
            <w:rPr>
              <w:rFonts w:hint="eastAsia" w:ascii="黑体" w:hAnsi="黑体" w:eastAsia="黑体" w:cs="黑体"/>
              <w:highlight w:val="none"/>
            </w:rPr>
            <w:t xml:space="preserve">  合同条款及格式</w:t>
          </w:r>
          <w:r>
            <w:tab/>
          </w:r>
          <w:r>
            <w:fldChar w:fldCharType="begin"/>
          </w:r>
          <w:r>
            <w:instrText xml:space="preserve"> PAGEREF _Toc5347 \h </w:instrText>
          </w:r>
          <w:r>
            <w:fldChar w:fldCharType="separate"/>
          </w:r>
          <w:r>
            <w:t>25</w:t>
          </w:r>
          <w:r>
            <w:fldChar w:fldCharType="end"/>
          </w:r>
          <w:r>
            <w:rPr>
              <w:rFonts w:hint="eastAsia" w:ascii="Times New Roman" w:hAnsi="Times New Roman" w:eastAsia="宋体" w:cs="Times New Roman"/>
              <w:szCs w:val="24"/>
              <w:highlight w:val="none"/>
              <w:lang w:val="en-US" w:eastAsia="zh-CN" w:bidi="ar-SA"/>
            </w:rPr>
            <w:fldChar w:fldCharType="end"/>
          </w:r>
        </w:p>
        <w:p w14:paraId="38A5A102">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_Toc30849 </w:instrText>
          </w:r>
          <w:r>
            <w:rPr>
              <w:rFonts w:hint="eastAsia" w:ascii="Times New Roman" w:hAnsi="Times New Roman" w:eastAsia="宋体" w:cs="Times New Roman"/>
              <w:szCs w:val="24"/>
              <w:highlight w:val="none"/>
              <w:lang w:val="en-US" w:eastAsia="zh-CN" w:bidi="ar-SA"/>
            </w:rPr>
            <w:fldChar w:fldCharType="separate"/>
          </w:r>
          <w:r>
            <w:rPr>
              <w:rFonts w:hint="eastAsia" w:ascii="黑体" w:hAnsi="黑体" w:eastAsia="黑体" w:cs="黑体"/>
              <w:szCs w:val="36"/>
              <w:highlight w:val="none"/>
            </w:rPr>
            <w:t>第</w:t>
          </w:r>
          <w:r>
            <w:rPr>
              <w:rFonts w:hint="eastAsia" w:ascii="黑体" w:hAnsi="黑体" w:eastAsia="黑体" w:cs="黑体"/>
              <w:szCs w:val="36"/>
              <w:highlight w:val="none"/>
              <w:lang w:val="en-US" w:eastAsia="zh-CN"/>
            </w:rPr>
            <w:t>六</w:t>
          </w:r>
          <w:r>
            <w:rPr>
              <w:rFonts w:hint="eastAsia" w:ascii="黑体" w:hAnsi="黑体" w:eastAsia="黑体" w:cs="黑体"/>
              <w:szCs w:val="36"/>
              <w:highlight w:val="none"/>
            </w:rPr>
            <w:t xml:space="preserve">章 </w:t>
          </w:r>
          <w:r>
            <w:rPr>
              <w:rFonts w:hint="eastAsia" w:ascii="黑体" w:hAnsi="黑体" w:eastAsia="黑体" w:cs="黑体"/>
              <w:szCs w:val="36"/>
              <w:highlight w:val="none"/>
              <w:lang w:val="en-US" w:eastAsia="zh-CN"/>
            </w:rPr>
            <w:t xml:space="preserve"> </w:t>
          </w:r>
          <w:r>
            <w:rPr>
              <w:rFonts w:hint="eastAsia" w:ascii="黑体" w:hAnsi="黑体" w:eastAsia="黑体" w:cs="黑体"/>
              <w:szCs w:val="36"/>
              <w:highlight w:val="none"/>
            </w:rPr>
            <w:t>投标文件格式及内容</w:t>
          </w:r>
          <w:r>
            <w:tab/>
          </w:r>
          <w:r>
            <w:fldChar w:fldCharType="begin"/>
          </w:r>
          <w:r>
            <w:instrText xml:space="preserve"> PAGEREF _Toc30849 \h </w:instrText>
          </w:r>
          <w:r>
            <w:fldChar w:fldCharType="separate"/>
          </w:r>
          <w:r>
            <w:t>32</w:t>
          </w:r>
          <w:r>
            <w:fldChar w:fldCharType="end"/>
          </w:r>
          <w:r>
            <w:rPr>
              <w:rFonts w:hint="eastAsia" w:ascii="Times New Roman" w:hAnsi="Times New Roman" w:eastAsia="宋体" w:cs="Times New Roman"/>
              <w:szCs w:val="24"/>
              <w:highlight w:val="none"/>
              <w:lang w:val="en-US" w:eastAsia="zh-CN" w:bidi="ar-SA"/>
            </w:rPr>
            <w:fldChar w:fldCharType="end"/>
          </w:r>
        </w:p>
        <w:p w14:paraId="0E6362A4">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_Toc26410 </w:instrText>
          </w:r>
          <w:r>
            <w:rPr>
              <w:rFonts w:hint="eastAsia" w:ascii="Times New Roman" w:hAnsi="Times New Roman" w:eastAsia="宋体" w:cs="Times New Roman"/>
              <w:szCs w:val="24"/>
              <w:highlight w:val="none"/>
              <w:lang w:val="en-US" w:eastAsia="zh-CN" w:bidi="ar-SA"/>
            </w:rPr>
            <w:fldChar w:fldCharType="separate"/>
          </w:r>
          <w:r>
            <w:rPr>
              <w:rFonts w:hint="eastAsia"/>
              <w:bCs/>
              <w:szCs w:val="24"/>
              <w:highlight w:val="none"/>
            </w:rPr>
            <w:t>1</w:t>
          </w:r>
          <w:r>
            <w:rPr>
              <w:rFonts w:hint="eastAsia"/>
              <w:bCs/>
              <w:szCs w:val="24"/>
              <w:highlight w:val="none"/>
              <w:lang w:val="en-US" w:eastAsia="zh-CN"/>
            </w:rPr>
            <w:t>.</w:t>
          </w:r>
          <w:r>
            <w:rPr>
              <w:rFonts w:hint="eastAsia"/>
              <w:bCs/>
              <w:szCs w:val="24"/>
              <w:highlight w:val="none"/>
            </w:rPr>
            <w:t>投标函</w:t>
          </w:r>
          <w:r>
            <w:tab/>
          </w:r>
          <w:r>
            <w:fldChar w:fldCharType="begin"/>
          </w:r>
          <w:r>
            <w:instrText xml:space="preserve"> PAGEREF _Toc26410 \h </w:instrText>
          </w:r>
          <w:r>
            <w:fldChar w:fldCharType="separate"/>
          </w:r>
          <w:r>
            <w:t>34</w:t>
          </w:r>
          <w:r>
            <w:fldChar w:fldCharType="end"/>
          </w:r>
          <w:r>
            <w:rPr>
              <w:rFonts w:hint="eastAsia" w:ascii="Times New Roman" w:hAnsi="Times New Roman" w:eastAsia="宋体" w:cs="Times New Roman"/>
              <w:szCs w:val="24"/>
              <w:highlight w:val="none"/>
              <w:lang w:val="en-US" w:eastAsia="zh-CN" w:bidi="ar-SA"/>
            </w:rPr>
            <w:fldChar w:fldCharType="end"/>
          </w:r>
        </w:p>
        <w:p w14:paraId="6249D843">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_Toc20711 </w:instrText>
          </w:r>
          <w:r>
            <w:rPr>
              <w:rFonts w:hint="eastAsia" w:ascii="Times New Roman" w:hAnsi="Times New Roman" w:eastAsia="宋体" w:cs="Times New Roman"/>
              <w:szCs w:val="24"/>
              <w:highlight w:val="none"/>
              <w:lang w:val="en-US" w:eastAsia="zh-CN" w:bidi="ar-SA"/>
            </w:rPr>
            <w:fldChar w:fldCharType="separate"/>
          </w:r>
          <w:r>
            <w:rPr>
              <w:rFonts w:hint="eastAsia" w:cs="仿宋"/>
            </w:rPr>
            <w:t>2</w:t>
          </w:r>
          <w:r>
            <w:rPr>
              <w:rFonts w:hint="eastAsia" w:cs="仿宋"/>
              <w:lang w:val="en-US" w:eastAsia="zh-CN"/>
            </w:rPr>
            <w:t>.</w:t>
          </w:r>
          <w:r>
            <w:rPr>
              <w:rFonts w:hint="eastAsia" w:cs="仿宋"/>
              <w:bCs w:val="0"/>
              <w:highlight w:val="none"/>
            </w:rPr>
            <w:t>报价表</w:t>
          </w:r>
          <w:r>
            <w:tab/>
          </w:r>
          <w:r>
            <w:fldChar w:fldCharType="begin"/>
          </w:r>
          <w:r>
            <w:instrText xml:space="preserve"> PAGEREF _Toc20711 \h </w:instrText>
          </w:r>
          <w:r>
            <w:fldChar w:fldCharType="separate"/>
          </w:r>
          <w:r>
            <w:t>35</w:t>
          </w:r>
          <w:r>
            <w:fldChar w:fldCharType="end"/>
          </w:r>
          <w:r>
            <w:rPr>
              <w:rFonts w:hint="eastAsia" w:ascii="Times New Roman" w:hAnsi="Times New Roman" w:eastAsia="宋体" w:cs="Times New Roman"/>
              <w:szCs w:val="24"/>
              <w:highlight w:val="none"/>
              <w:lang w:val="en-US" w:eastAsia="zh-CN" w:bidi="ar-SA"/>
            </w:rPr>
            <w:fldChar w:fldCharType="end"/>
          </w:r>
        </w:p>
        <w:p w14:paraId="5CFBA886">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_Toc25140 </w:instrText>
          </w:r>
          <w:r>
            <w:rPr>
              <w:rFonts w:hint="eastAsia" w:ascii="Times New Roman" w:hAnsi="Times New Roman" w:eastAsia="宋体" w:cs="Times New Roman"/>
              <w:szCs w:val="24"/>
              <w:highlight w:val="none"/>
              <w:lang w:val="en-US" w:eastAsia="zh-CN" w:bidi="ar-SA"/>
            </w:rPr>
            <w:fldChar w:fldCharType="separate"/>
          </w:r>
          <w:r>
            <w:rPr>
              <w:rFonts w:hint="eastAsia" w:cs="仿宋"/>
              <w:bCs/>
              <w:highlight w:val="none"/>
              <w:lang w:val="en-US" w:eastAsia="zh-CN"/>
            </w:rPr>
            <w:t>3.</w:t>
          </w:r>
          <w:r>
            <w:rPr>
              <w:rFonts w:hint="eastAsia" w:cs="仿宋"/>
              <w:bCs/>
              <w:highlight w:val="none"/>
              <w:lang w:val="zh-TW" w:eastAsia="zh-TW"/>
            </w:rPr>
            <w:t>法定代表人身份证明</w:t>
          </w:r>
          <w:r>
            <w:tab/>
          </w:r>
          <w:r>
            <w:fldChar w:fldCharType="begin"/>
          </w:r>
          <w:r>
            <w:instrText xml:space="preserve"> PAGEREF _Toc25140 \h </w:instrText>
          </w:r>
          <w:r>
            <w:fldChar w:fldCharType="separate"/>
          </w:r>
          <w:r>
            <w:t>37</w:t>
          </w:r>
          <w:r>
            <w:fldChar w:fldCharType="end"/>
          </w:r>
          <w:r>
            <w:rPr>
              <w:rFonts w:hint="eastAsia" w:ascii="Times New Roman" w:hAnsi="Times New Roman" w:eastAsia="宋体" w:cs="Times New Roman"/>
              <w:szCs w:val="24"/>
              <w:highlight w:val="none"/>
              <w:lang w:val="en-US" w:eastAsia="zh-CN" w:bidi="ar-SA"/>
            </w:rPr>
            <w:fldChar w:fldCharType="end"/>
          </w:r>
        </w:p>
        <w:p w14:paraId="613339B3">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_Toc25631 </w:instrText>
          </w:r>
          <w:r>
            <w:rPr>
              <w:rFonts w:hint="eastAsia" w:ascii="Times New Roman" w:hAnsi="Times New Roman" w:eastAsia="宋体" w:cs="Times New Roman"/>
              <w:szCs w:val="24"/>
              <w:highlight w:val="none"/>
              <w:lang w:val="en-US" w:eastAsia="zh-CN" w:bidi="ar-SA"/>
            </w:rPr>
            <w:fldChar w:fldCharType="separate"/>
          </w:r>
          <w:r>
            <w:rPr>
              <w:rFonts w:hint="eastAsia" w:cs="仿宋"/>
              <w:bCs/>
              <w:highlight w:val="none"/>
              <w:lang w:val="en-US" w:eastAsia="zh-CN"/>
            </w:rPr>
            <w:t>4.</w:t>
          </w:r>
          <w:r>
            <w:rPr>
              <w:rFonts w:hint="eastAsia" w:cs="仿宋"/>
              <w:bCs/>
              <w:highlight w:val="none"/>
            </w:rPr>
            <w:t>授权委托书</w:t>
          </w:r>
          <w:r>
            <w:tab/>
          </w:r>
          <w:r>
            <w:fldChar w:fldCharType="begin"/>
          </w:r>
          <w:r>
            <w:instrText xml:space="preserve"> PAGEREF _Toc25631 \h </w:instrText>
          </w:r>
          <w:r>
            <w:fldChar w:fldCharType="separate"/>
          </w:r>
          <w:r>
            <w:t>38</w:t>
          </w:r>
          <w:r>
            <w:fldChar w:fldCharType="end"/>
          </w:r>
          <w:r>
            <w:rPr>
              <w:rFonts w:hint="eastAsia" w:ascii="Times New Roman" w:hAnsi="Times New Roman" w:eastAsia="宋体" w:cs="Times New Roman"/>
              <w:szCs w:val="24"/>
              <w:highlight w:val="none"/>
              <w:lang w:val="en-US" w:eastAsia="zh-CN" w:bidi="ar-SA"/>
            </w:rPr>
            <w:fldChar w:fldCharType="end"/>
          </w:r>
        </w:p>
        <w:p w14:paraId="5DCB22E3">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_Toc18893 </w:instrText>
          </w:r>
          <w:r>
            <w:rPr>
              <w:rFonts w:hint="eastAsia" w:ascii="Times New Roman" w:hAnsi="Times New Roman" w:eastAsia="宋体" w:cs="Times New Roman"/>
              <w:szCs w:val="24"/>
              <w:highlight w:val="none"/>
              <w:lang w:val="en-US" w:eastAsia="zh-CN" w:bidi="ar-SA"/>
            </w:rPr>
            <w:fldChar w:fldCharType="separate"/>
          </w:r>
          <w:r>
            <w:rPr>
              <w:rFonts w:hint="eastAsia" w:cs="仿宋"/>
              <w:bCs/>
              <w:highlight w:val="none"/>
              <w:lang w:val="en-US" w:eastAsia="zh-CN"/>
            </w:rPr>
            <w:t>5.投标保证金</w:t>
          </w:r>
          <w:r>
            <w:tab/>
          </w:r>
          <w:r>
            <w:fldChar w:fldCharType="begin"/>
          </w:r>
          <w:r>
            <w:instrText xml:space="preserve"> PAGEREF _Toc18893 \h </w:instrText>
          </w:r>
          <w:r>
            <w:fldChar w:fldCharType="separate"/>
          </w:r>
          <w:r>
            <w:t>39</w:t>
          </w:r>
          <w:r>
            <w:fldChar w:fldCharType="end"/>
          </w:r>
          <w:r>
            <w:rPr>
              <w:rFonts w:hint="eastAsia" w:ascii="Times New Roman" w:hAnsi="Times New Roman" w:eastAsia="宋体" w:cs="Times New Roman"/>
              <w:szCs w:val="24"/>
              <w:highlight w:val="none"/>
              <w:lang w:val="en-US" w:eastAsia="zh-CN" w:bidi="ar-SA"/>
            </w:rPr>
            <w:fldChar w:fldCharType="end"/>
          </w:r>
        </w:p>
        <w:p w14:paraId="637AA03A">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_Toc9062 </w:instrText>
          </w:r>
          <w:r>
            <w:rPr>
              <w:rFonts w:hint="eastAsia" w:ascii="Times New Roman" w:hAnsi="Times New Roman" w:eastAsia="宋体" w:cs="Times New Roman"/>
              <w:szCs w:val="24"/>
              <w:highlight w:val="none"/>
              <w:lang w:val="en-US" w:eastAsia="zh-CN" w:bidi="ar-SA"/>
            </w:rPr>
            <w:fldChar w:fldCharType="separate"/>
          </w:r>
          <w:r>
            <w:rPr>
              <w:rFonts w:hint="eastAsia" w:cs="仿宋"/>
              <w:bCs/>
              <w:highlight w:val="none"/>
              <w:lang w:val="en-US" w:eastAsia="zh-CN"/>
            </w:rPr>
            <w:t>6.资格审查资料</w:t>
          </w:r>
          <w:r>
            <w:tab/>
          </w:r>
          <w:r>
            <w:fldChar w:fldCharType="begin"/>
          </w:r>
          <w:r>
            <w:instrText xml:space="preserve"> PAGEREF _Toc9062 \h </w:instrText>
          </w:r>
          <w:r>
            <w:fldChar w:fldCharType="separate"/>
          </w:r>
          <w:r>
            <w:t>39</w:t>
          </w:r>
          <w:r>
            <w:fldChar w:fldCharType="end"/>
          </w:r>
          <w:r>
            <w:rPr>
              <w:rFonts w:hint="eastAsia" w:ascii="Times New Roman" w:hAnsi="Times New Roman" w:eastAsia="宋体" w:cs="Times New Roman"/>
              <w:szCs w:val="24"/>
              <w:highlight w:val="none"/>
              <w:lang w:val="en-US" w:eastAsia="zh-CN" w:bidi="ar-SA"/>
            </w:rPr>
            <w:fldChar w:fldCharType="end"/>
          </w:r>
        </w:p>
        <w:p w14:paraId="108C7D09">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_Toc4907 </w:instrText>
          </w:r>
          <w:r>
            <w:rPr>
              <w:rFonts w:hint="eastAsia" w:ascii="Times New Roman" w:hAnsi="Times New Roman" w:eastAsia="宋体" w:cs="Times New Roman"/>
              <w:szCs w:val="24"/>
              <w:highlight w:val="none"/>
              <w:lang w:val="en-US" w:eastAsia="zh-CN" w:bidi="ar-SA"/>
            </w:rPr>
            <w:fldChar w:fldCharType="separate"/>
          </w:r>
          <w:r>
            <w:rPr>
              <w:rFonts w:hint="eastAsia"/>
              <w:highlight w:val="none"/>
            </w:rPr>
            <w:t>7</w:t>
          </w:r>
          <w:r>
            <w:rPr>
              <w:rFonts w:hint="eastAsia"/>
              <w:highlight w:val="none"/>
              <w:lang w:val="en-US" w:eastAsia="zh-CN"/>
            </w:rPr>
            <w:t>.</w:t>
          </w:r>
          <w:r>
            <w:rPr>
              <w:rFonts w:hint="eastAsia"/>
              <w:highlight w:val="none"/>
            </w:rPr>
            <w:t>商务或技术偏差表</w:t>
          </w:r>
          <w:r>
            <w:tab/>
          </w:r>
          <w:r>
            <w:fldChar w:fldCharType="begin"/>
          </w:r>
          <w:r>
            <w:instrText xml:space="preserve"> PAGEREF _Toc4907 \h </w:instrText>
          </w:r>
          <w:r>
            <w:fldChar w:fldCharType="separate"/>
          </w:r>
          <w:r>
            <w:t>41</w:t>
          </w:r>
          <w:r>
            <w:fldChar w:fldCharType="end"/>
          </w:r>
          <w:r>
            <w:rPr>
              <w:rFonts w:hint="eastAsia" w:ascii="Times New Roman" w:hAnsi="Times New Roman" w:eastAsia="宋体" w:cs="Times New Roman"/>
              <w:szCs w:val="24"/>
              <w:highlight w:val="none"/>
              <w:lang w:val="en-US" w:eastAsia="zh-CN" w:bidi="ar-SA"/>
            </w:rPr>
            <w:fldChar w:fldCharType="end"/>
          </w:r>
        </w:p>
        <w:p w14:paraId="7A0A336A">
          <w:pPr>
            <w:pStyle w:val="32"/>
            <w:keepNext w:val="0"/>
            <w:keepLines w:val="0"/>
            <w:pageBreakBefore w:val="0"/>
            <w:widowControl w:val="0"/>
            <w:tabs>
              <w:tab w:val="right" w:leader="dot" w:pos="9000"/>
              <w:tab w:val="clear" w:pos="8296"/>
            </w:tabs>
            <w:kinsoku/>
            <w:wordWrap/>
            <w:overflowPunct/>
            <w:topLinePunct w:val="0"/>
            <w:autoSpaceDE/>
            <w:autoSpaceDN/>
            <w:bidi w:val="0"/>
            <w:adjustRightInd/>
            <w:snapToGrid/>
            <w:spacing w:line="440" w:lineRule="exact"/>
            <w:ind w:firstLine="420" w:firstLineChars="200"/>
            <w:textAlignment w:val="auto"/>
          </w:pPr>
          <w:r>
            <w:rPr>
              <w:rFonts w:hint="eastAsia" w:ascii="Times New Roman" w:hAnsi="Times New Roman" w:eastAsia="宋体" w:cs="Times New Roman"/>
              <w:szCs w:val="24"/>
              <w:highlight w:val="none"/>
              <w:lang w:val="en-US" w:eastAsia="zh-CN" w:bidi="ar-SA"/>
            </w:rPr>
            <w:fldChar w:fldCharType="begin"/>
          </w:r>
          <w:r>
            <w:rPr>
              <w:rFonts w:hint="eastAsia" w:ascii="Times New Roman" w:hAnsi="Times New Roman" w:eastAsia="宋体" w:cs="Times New Roman"/>
              <w:szCs w:val="24"/>
              <w:highlight w:val="none"/>
              <w:lang w:val="en-US" w:eastAsia="zh-CN" w:bidi="ar-SA"/>
            </w:rPr>
            <w:instrText xml:space="preserve"> HYPERLINK \l _Toc20091 </w:instrText>
          </w:r>
          <w:r>
            <w:rPr>
              <w:rFonts w:hint="eastAsia" w:ascii="Times New Roman" w:hAnsi="Times New Roman" w:eastAsia="宋体" w:cs="Times New Roman"/>
              <w:szCs w:val="24"/>
              <w:highlight w:val="none"/>
              <w:lang w:val="en-US" w:eastAsia="zh-CN" w:bidi="ar-SA"/>
            </w:rPr>
            <w:fldChar w:fldCharType="separate"/>
          </w:r>
          <w:r>
            <w:rPr>
              <w:rFonts w:hint="eastAsia"/>
              <w:highlight w:val="none"/>
              <w:lang w:val="en-US" w:eastAsia="zh-CN"/>
            </w:rPr>
            <w:t>8.</w:t>
          </w:r>
          <w:r>
            <w:rPr>
              <w:rFonts w:hint="eastAsia"/>
              <w:highlight w:val="none"/>
            </w:rPr>
            <w:t>投标人认为应补充的其他资料</w:t>
          </w:r>
          <w:r>
            <w:tab/>
          </w:r>
          <w:r>
            <w:fldChar w:fldCharType="begin"/>
          </w:r>
          <w:r>
            <w:instrText xml:space="preserve"> PAGEREF _Toc20091 \h </w:instrText>
          </w:r>
          <w:r>
            <w:fldChar w:fldCharType="separate"/>
          </w:r>
          <w:r>
            <w:t>41</w:t>
          </w:r>
          <w:r>
            <w:fldChar w:fldCharType="end"/>
          </w:r>
          <w:r>
            <w:rPr>
              <w:rFonts w:hint="eastAsia" w:ascii="Times New Roman" w:hAnsi="Times New Roman" w:eastAsia="宋体" w:cs="Times New Roman"/>
              <w:szCs w:val="24"/>
              <w:highlight w:val="none"/>
              <w:lang w:val="en-US" w:eastAsia="zh-CN" w:bidi="ar-SA"/>
            </w:rPr>
            <w:fldChar w:fldCharType="end"/>
          </w:r>
        </w:p>
        <w:p w14:paraId="63E67AD2">
          <w:pPr>
            <w:pStyle w:val="2"/>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24"/>
              <w:szCs w:val="24"/>
              <w:highlight w:val="none"/>
              <w:lang w:val="en-US" w:eastAsia="zh-CN" w:bidi="ar-SA"/>
            </w:rPr>
          </w:pPr>
          <w:r>
            <w:rPr>
              <w:rFonts w:hint="eastAsia" w:ascii="Times New Roman" w:hAnsi="Times New Roman" w:eastAsia="宋体" w:cs="Times New Roman"/>
              <w:szCs w:val="24"/>
              <w:highlight w:val="none"/>
              <w:lang w:val="en-US" w:eastAsia="zh-CN" w:bidi="ar-SA"/>
            </w:rPr>
            <w:fldChar w:fldCharType="end"/>
          </w:r>
        </w:p>
      </w:sdtContent>
    </w:sdt>
    <w:p w14:paraId="7CB0FFC6">
      <w:pPr>
        <w:pStyle w:val="2"/>
        <w:shd w:val="clear"/>
        <w:rPr>
          <w:rFonts w:hint="eastAsia" w:ascii="Times New Roman" w:hAnsi="Times New Roman" w:eastAsia="宋体" w:cs="Times New Roman"/>
          <w:sz w:val="24"/>
          <w:szCs w:val="24"/>
          <w:highlight w:val="none"/>
          <w:lang w:val="en-US" w:eastAsia="zh-CN" w:bidi="ar-SA"/>
        </w:rPr>
      </w:pPr>
    </w:p>
    <w:p w14:paraId="5F188E88">
      <w:pPr>
        <w:shd w:val="clear"/>
        <w:spacing w:line="300" w:lineRule="auto"/>
        <w:jc w:val="center"/>
        <w:rPr>
          <w:rFonts w:hint="eastAsia" w:ascii="黑体" w:hAnsi="黑体" w:eastAsia="黑体"/>
          <w:b/>
          <w:color w:val="000000"/>
          <w:sz w:val="36"/>
          <w:szCs w:val="36"/>
          <w:highlight w:val="none"/>
        </w:rPr>
        <w:sectPr>
          <w:footerReference r:id="rId4" w:type="default"/>
          <w:pgSz w:w="11906" w:h="16838"/>
          <w:pgMar w:top="1440" w:right="1466" w:bottom="1440" w:left="1440" w:header="851" w:footer="992" w:gutter="0"/>
          <w:pgNumType w:fmt="decimal" w:start="1"/>
          <w:cols w:space="720" w:num="1"/>
          <w:docGrid w:type="linesAndChars" w:linePitch="312" w:charSpace="0"/>
        </w:sectPr>
      </w:pPr>
      <w:bookmarkStart w:id="0" w:name="_Toc18900_WPSOffice_Level1"/>
    </w:p>
    <w:p w14:paraId="0E164D96">
      <w:pPr>
        <w:shd w:val="clear"/>
        <w:spacing w:line="300" w:lineRule="auto"/>
        <w:jc w:val="center"/>
        <w:outlineLvl w:val="0"/>
        <w:rPr>
          <w:rFonts w:hint="eastAsia" w:ascii="黑体" w:hAnsi="黑体" w:eastAsia="黑体"/>
          <w:b/>
          <w:color w:val="000000"/>
          <w:sz w:val="36"/>
          <w:szCs w:val="36"/>
          <w:highlight w:val="none"/>
        </w:rPr>
      </w:pPr>
      <w:bookmarkStart w:id="1" w:name="_Toc20944"/>
      <w:r>
        <w:rPr>
          <w:rFonts w:hint="eastAsia" w:ascii="黑体" w:hAnsi="黑体" w:eastAsia="黑体"/>
          <w:b/>
          <w:color w:val="000000"/>
          <w:sz w:val="36"/>
          <w:szCs w:val="36"/>
          <w:highlight w:val="none"/>
        </w:rPr>
        <w:t>第一章</w:t>
      </w:r>
      <w:r>
        <w:rPr>
          <w:rFonts w:ascii="黑体" w:hAnsi="黑体" w:eastAsia="黑体"/>
          <w:b/>
          <w:color w:val="000000"/>
          <w:sz w:val="36"/>
          <w:szCs w:val="36"/>
          <w:highlight w:val="none"/>
        </w:rPr>
        <w:t xml:space="preserve"> </w:t>
      </w:r>
      <w:bookmarkStart w:id="2" w:name="_Toc446434284"/>
      <w:bookmarkEnd w:id="2"/>
      <w:r>
        <w:rPr>
          <w:rFonts w:hint="eastAsia" w:ascii="黑体" w:hAnsi="黑体" w:eastAsia="黑体"/>
          <w:b/>
          <w:color w:val="000000"/>
          <w:sz w:val="36"/>
          <w:szCs w:val="36"/>
          <w:highlight w:val="none"/>
        </w:rPr>
        <w:t xml:space="preserve">  招标公告</w:t>
      </w:r>
      <w:bookmarkEnd w:id="0"/>
      <w:bookmarkEnd w:id="1"/>
    </w:p>
    <w:p w14:paraId="2A4EEFE7">
      <w:pPr>
        <w:widowControl w:val="0"/>
        <w:shd w:val="clear"/>
        <w:spacing w:line="360" w:lineRule="auto"/>
        <w:outlineLvl w:val="0"/>
        <w:rPr>
          <w:rFonts w:cs="Times New Roman"/>
          <w:b/>
          <w:bCs/>
          <w:kern w:val="2"/>
          <w:szCs w:val="22"/>
          <w:highlight w:val="none"/>
        </w:rPr>
      </w:pPr>
      <w:bookmarkStart w:id="3" w:name="_Toc5779"/>
      <w:r>
        <w:rPr>
          <w:rFonts w:cs="Times New Roman"/>
          <w:b/>
          <w:bCs/>
          <w:kern w:val="2"/>
          <w:szCs w:val="22"/>
          <w:highlight w:val="none"/>
        </w:rPr>
        <w:t>一、</w:t>
      </w:r>
      <w:r>
        <w:rPr>
          <w:rFonts w:hint="eastAsia" w:cs="Times New Roman"/>
          <w:b/>
          <w:bCs/>
          <w:kern w:val="2"/>
          <w:szCs w:val="22"/>
          <w:highlight w:val="none"/>
        </w:rPr>
        <w:t>招标</w:t>
      </w:r>
      <w:r>
        <w:rPr>
          <w:rFonts w:cs="Times New Roman"/>
          <w:b/>
          <w:bCs/>
          <w:kern w:val="2"/>
          <w:szCs w:val="22"/>
          <w:highlight w:val="none"/>
        </w:rPr>
        <w:t>编号</w:t>
      </w:r>
      <w:bookmarkStart w:id="290" w:name="_GoBack"/>
      <w:bookmarkEnd w:id="290"/>
      <w:r>
        <w:rPr>
          <w:rFonts w:cs="Times New Roman"/>
          <w:b/>
          <w:bCs/>
          <w:kern w:val="2"/>
          <w:szCs w:val="22"/>
          <w:highlight w:val="none"/>
        </w:rPr>
        <w:t>：</w:t>
      </w:r>
      <w:bookmarkEnd w:id="3"/>
      <w:r>
        <w:rPr>
          <w:rFonts w:hint="eastAsia" w:cs="Times New Roman"/>
          <w:b/>
          <w:bCs/>
          <w:kern w:val="2"/>
          <w:szCs w:val="22"/>
          <w:highlight w:val="none"/>
        </w:rPr>
        <w:t>1171260708001</w:t>
      </w:r>
    </w:p>
    <w:p w14:paraId="014CAF7E">
      <w:pPr>
        <w:widowControl w:val="0"/>
        <w:shd w:val="clear"/>
        <w:spacing w:line="360" w:lineRule="auto"/>
        <w:outlineLvl w:val="0"/>
        <w:rPr>
          <w:rFonts w:hint="eastAsia" w:eastAsia="宋体" w:cs="Times New Roman"/>
          <w:b/>
          <w:bCs/>
          <w:kern w:val="2"/>
          <w:szCs w:val="22"/>
          <w:highlight w:val="none"/>
          <w:lang w:eastAsia="zh-CN"/>
        </w:rPr>
      </w:pPr>
      <w:bookmarkStart w:id="4" w:name="_Toc22780"/>
      <w:r>
        <w:rPr>
          <w:rFonts w:cs="Times New Roman"/>
          <w:b/>
          <w:bCs/>
          <w:kern w:val="2"/>
          <w:szCs w:val="22"/>
          <w:highlight w:val="none"/>
        </w:rPr>
        <w:t>二、</w:t>
      </w:r>
      <w:r>
        <w:rPr>
          <w:rFonts w:hint="eastAsia" w:cs="Times New Roman"/>
          <w:b/>
          <w:bCs/>
          <w:kern w:val="2"/>
          <w:szCs w:val="22"/>
          <w:highlight w:val="none"/>
        </w:rPr>
        <w:t>招标项目</w:t>
      </w:r>
      <w:r>
        <w:rPr>
          <w:rFonts w:cs="Times New Roman"/>
          <w:b/>
          <w:bCs/>
          <w:kern w:val="2"/>
          <w:szCs w:val="22"/>
          <w:highlight w:val="none"/>
        </w:rPr>
        <w:t>名称：</w:t>
      </w:r>
      <w:r>
        <w:rPr>
          <w:rFonts w:hint="eastAsia" w:cs="Times New Roman"/>
          <w:b/>
          <w:bCs/>
          <w:kern w:val="2"/>
          <w:szCs w:val="22"/>
          <w:highlight w:val="none"/>
          <w:lang w:eastAsia="zh-CN"/>
        </w:rPr>
        <w:t>2026年-2027年低压电机及水泵维修保养服务</w:t>
      </w:r>
      <w:bookmarkEnd w:id="4"/>
    </w:p>
    <w:p w14:paraId="4E455309">
      <w:pPr>
        <w:widowControl w:val="0"/>
        <w:shd w:val="clear"/>
        <w:spacing w:line="360" w:lineRule="auto"/>
        <w:outlineLvl w:val="0"/>
        <w:rPr>
          <w:rFonts w:hint="eastAsia" w:cs="Times New Roman"/>
          <w:b/>
          <w:bCs/>
          <w:kern w:val="2"/>
          <w:szCs w:val="22"/>
          <w:highlight w:val="none"/>
          <w:lang w:val="zh-CN"/>
        </w:rPr>
      </w:pPr>
      <w:bookmarkStart w:id="5" w:name="_Toc794"/>
      <w:r>
        <w:rPr>
          <w:rFonts w:hint="eastAsia" w:cs="Times New Roman"/>
          <w:b/>
          <w:bCs/>
          <w:kern w:val="2"/>
          <w:szCs w:val="22"/>
          <w:highlight w:val="none"/>
        </w:rPr>
        <w:t>三、</w:t>
      </w:r>
      <w:r>
        <w:rPr>
          <w:rFonts w:hint="eastAsia" w:cs="Times New Roman"/>
          <w:b/>
          <w:bCs/>
          <w:kern w:val="2"/>
          <w:szCs w:val="22"/>
          <w:highlight w:val="none"/>
          <w:lang w:val="zh-CN"/>
        </w:rPr>
        <w:t>项目概况与范围</w:t>
      </w:r>
      <w:bookmarkEnd w:id="5"/>
    </w:p>
    <w:p w14:paraId="3DB9CBC2">
      <w:pPr>
        <w:shd w:val="clear"/>
        <w:spacing w:line="360" w:lineRule="auto"/>
        <w:ind w:firstLine="480" w:firstLineChars="200"/>
        <w:rPr>
          <w:rFonts w:hint="eastAsia"/>
          <w:highlight w:val="none"/>
          <w:lang w:val="zh-CN" w:eastAsia="zh-CN"/>
        </w:rPr>
      </w:pPr>
      <w:r>
        <w:rPr>
          <w:rFonts w:hint="eastAsia"/>
          <w:highlight w:val="none"/>
          <w:lang w:val="en-US" w:eastAsia="zh-CN"/>
        </w:rPr>
        <w:t>1</w:t>
      </w:r>
      <w:r>
        <w:rPr>
          <w:rFonts w:hint="eastAsia"/>
          <w:highlight w:val="none"/>
          <w:lang w:val="zh-CN" w:eastAsia="zh-CN"/>
        </w:rPr>
        <w:t>、低压电机</w:t>
      </w:r>
      <w:r>
        <w:rPr>
          <w:rFonts w:hint="eastAsia"/>
          <w:highlight w:val="none"/>
          <w:lang w:val="en-US" w:eastAsia="zh-CN"/>
        </w:rPr>
        <w:t>及水泵</w:t>
      </w:r>
      <w:r>
        <w:rPr>
          <w:rFonts w:hint="eastAsia"/>
          <w:highlight w:val="none"/>
          <w:lang w:val="zh-CN" w:eastAsia="zh-CN"/>
        </w:rPr>
        <w:t>维修保养</w:t>
      </w:r>
      <w:r>
        <w:rPr>
          <w:rFonts w:hint="eastAsia"/>
          <w:highlight w:val="none"/>
          <w:lang w:val="en-US" w:eastAsia="zh-CN"/>
        </w:rPr>
        <w:t>内容：</w:t>
      </w:r>
    </w:p>
    <w:tbl>
      <w:tblPr>
        <w:tblStyle w:val="46"/>
        <w:tblW w:w="855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2"/>
        <w:gridCol w:w="1038"/>
        <w:gridCol w:w="3823"/>
        <w:gridCol w:w="1320"/>
        <w:gridCol w:w="1035"/>
      </w:tblGrid>
      <w:tr w14:paraId="2AA5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CCCA">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种类</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E04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序号</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276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维修保养项目名称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80A7">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预估</w:t>
            </w:r>
            <w:r>
              <w:rPr>
                <w:rFonts w:hint="eastAsia" w:ascii="宋体" w:hAnsi="宋体" w:eastAsia="宋体" w:cs="宋体"/>
                <w:i w:val="0"/>
                <w:iCs w:val="0"/>
                <w:color w:val="000000"/>
                <w:kern w:val="0"/>
                <w:sz w:val="21"/>
                <w:szCs w:val="21"/>
                <w:highlight w:val="none"/>
                <w:u w:val="none"/>
                <w:lang w:val="en-US" w:eastAsia="zh-CN" w:bidi="ar"/>
              </w:rPr>
              <w:t>工程量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63F7">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单位</w:t>
            </w:r>
          </w:p>
        </w:tc>
      </w:tr>
      <w:tr w14:paraId="5CD5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A6EF9">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1.5kW及以下电机</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2F5A">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75A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电机大修（更换线圈、外观刷漆、浸漆）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7709">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4742">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r>
      <w:tr w14:paraId="1911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A84C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9E9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7A8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更换轴承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FD9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0403">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盘</w:t>
            </w:r>
          </w:p>
        </w:tc>
      </w:tr>
      <w:tr w14:paraId="62D2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B6FF2">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E6C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868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端盖修复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EB67">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80D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处</w:t>
            </w:r>
          </w:p>
        </w:tc>
      </w:tr>
      <w:tr w14:paraId="0A34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A47B8">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6842">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74EC">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转子修复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626A">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914C">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r>
      <w:tr w14:paraId="2044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E4D88">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541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208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接线端子更换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B75F">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E7A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r>
      <w:tr w14:paraId="6F2A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8436A">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82E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05B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风扇罩修复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B43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A073">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r>
      <w:tr w14:paraId="4F909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62539">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940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3508">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电机保养</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8B9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1C94">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r>
      <w:tr w14:paraId="39B3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68B2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C316">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F02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更换风叶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65D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C5B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r>
      <w:tr w14:paraId="61C9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8F18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1.5kW以上低压电机</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DF9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007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电机大修（更换线圈、外观刷漆、浸漆）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2C7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CF70">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10A1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BA053">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9E24">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13E0">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换轴承（</w:t>
            </w:r>
            <w:r>
              <w:rPr>
                <w:rFonts w:hint="eastAsia" w:cs="宋体"/>
                <w:i w:val="0"/>
                <w:iCs w:val="0"/>
                <w:color w:val="000000"/>
                <w:kern w:val="0"/>
                <w:sz w:val="21"/>
                <w:szCs w:val="21"/>
                <w:highlight w:val="none"/>
                <w:u w:val="none"/>
                <w:lang w:val="en-US" w:eastAsia="zh-CN" w:bidi="ar"/>
              </w:rPr>
              <w:t>单个</w:t>
            </w:r>
            <w:r>
              <w:rPr>
                <w:rFonts w:hint="eastAsia" w:ascii="宋体" w:hAnsi="宋体" w:eastAsia="宋体" w:cs="宋体"/>
                <w:i w:val="0"/>
                <w:iCs w:val="0"/>
                <w:color w:val="000000"/>
                <w:kern w:val="0"/>
                <w:sz w:val="21"/>
                <w:szCs w:val="21"/>
                <w:highlight w:val="none"/>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A979">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002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066B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B3238">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623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4C9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端盖修复（单侧）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1726">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BE3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71F4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CE63F">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A689">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9CAA">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转子修复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63D4">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BE02">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2455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DE07">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FD5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C00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接线端子更换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2729">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2B52">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5328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00FE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4C18">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FC3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风扇罩修复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BAB2">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6136">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6DC9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D26E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7732">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EA62">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电机保养</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8576">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FC9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7B399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1AF1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0D28">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C3E7">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更换风叶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2C83">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377F">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186B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exact"/>
        </w:trPr>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5868C">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变频电机用冷却风机</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50A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6D27">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G-80变频电机冷却风机维修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5F70">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DB0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r>
      <w:tr w14:paraId="7A74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exac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554AA">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7358">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290C">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G-90变频电机冷却风机维修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EC1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4978">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r>
      <w:tr w14:paraId="2CBE5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exac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3FF5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4AA7">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7897">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G-100变频电机冷却风机维修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2096">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5046">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r>
      <w:tr w14:paraId="1469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exac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BEAF">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900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FC48">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G-112变频电机冷却风机维修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096F">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8460">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r>
      <w:tr w14:paraId="49C30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exac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27CA2">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F01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39A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G-132变频电机冷却风机维修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FF8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A7F6">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r>
      <w:tr w14:paraId="1B98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exac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103C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E90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9082">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G-160变频电机冷却风机维修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8C7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45D2">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r>
      <w:tr w14:paraId="6CB6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exac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017A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8CD7">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22E9">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G-180变频电机冷却风机维修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EF7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9CE8">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r>
      <w:tr w14:paraId="4E7F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exac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40226">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7AE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FC5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G-200变频电机冷却风机维修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D9AA">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975F">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r>
      <w:tr w14:paraId="6769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exac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6FD5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3268">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6D40">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G-225变频电机冷却风机维修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67D3">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DAD3">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r>
      <w:tr w14:paraId="12BC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exac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844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CFD2">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B8F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G-250变频电机冷却风机维修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9EA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168F">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r>
      <w:tr w14:paraId="5D9A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exac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F6F3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514F">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0883">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G-280变频电机冷却风机维修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729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239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r>
      <w:tr w14:paraId="05FE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exac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FEAE9">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D28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53A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G-315变频电机冷却风机维修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E19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9B2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r>
      <w:tr w14:paraId="1331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11854">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振动电机</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7F1C">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F48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电机大修（更换线圈、外观刷漆、浸漆）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9F30">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B3C7">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49FE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8D103">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E66F">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A42A">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换轴承（单个）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6CE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0FB3">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3809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D4176">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94D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DF77">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端盖修复（单侧）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78D2">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01F3">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70D7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A4082">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D6D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3549">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转子修复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5EDC">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1F6C">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4085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C8EBC">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B8A0">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7D6F">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更换接线端子和外引线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C38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D1D6">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09726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8EB4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5EAA">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83A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防护罩修复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6208">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AB2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5014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56393">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F3DC">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D910">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修补振动块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209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D367">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7591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ACA7F">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普通潜水泵（单叶轮）</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DD8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4F88">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电机大修（更换线圈、外观刷漆、浸漆）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AE68">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BB84">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3884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3CC59">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A176">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32D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换轴承（单个）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48F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AD3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164F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2A99C">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D8A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0A84">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轴承端盖修复（单侧）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4C8A">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D284">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6E856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BA5D7">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224A">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5E36">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转子修复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309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759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4F60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45F68">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6FE9">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D046">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修复外引线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777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3800">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5F16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4A4E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B4AA">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EAD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更换叶轮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0494">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396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27108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E42A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AE4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7ED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更换叶轮防护罩</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03B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auto" w:sz="4" w:space="0"/>
            </w:tcBorders>
            <w:shd w:val="clear" w:color="auto" w:fill="auto"/>
            <w:vAlign w:val="center"/>
          </w:tcPr>
          <w:p w14:paraId="5B42590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5A34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8A407">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B5C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61D2">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更换机械密封</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7579">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1035" w:type="dxa"/>
            <w:tcBorders>
              <w:top w:val="single" w:color="000000" w:sz="4" w:space="0"/>
              <w:left w:val="single" w:color="000000" w:sz="4" w:space="0"/>
              <w:bottom w:val="single" w:color="000000" w:sz="4" w:space="0"/>
              <w:right w:val="single" w:color="auto" w:sz="4" w:space="0"/>
            </w:tcBorders>
            <w:shd w:val="clear" w:color="auto" w:fill="auto"/>
            <w:vAlign w:val="center"/>
          </w:tcPr>
          <w:p w14:paraId="7A3D1B89">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6CC3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C0FC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多级泵</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B959">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6854">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电机大修（更换线圈、外观刷漆、浸漆）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893F">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A45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472D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BAC1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F19F">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4350">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更换机械密封</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1958">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59D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0DD65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836E6">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5B50">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988A">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更换橡胶轴承及附件（单个）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878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BCD2">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186A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59CB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627F">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251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更换推力轴承及附件（单个）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EAC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2727">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518C3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D29E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9817">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9A26">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更换石墨轴承及附件（单个）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EB1A">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1057">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4C83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7B096">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96A2">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B126">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更换叶轮及导叶（单个）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43A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8C88">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11AF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79912">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6E4A">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CF3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维修泵轴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464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708C">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78F3F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ED8F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3BF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BF16">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更换直推阀</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496B">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6B85">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0E949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6F24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68EF">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4E6C">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更换进/出水节</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D43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CFA1">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18E2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6927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0ED7">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5320">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更换外引线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2114">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CD8D">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r w14:paraId="3F57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83D84">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9309">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5EFC">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更换泵头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CA7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191E">
            <w:pPr>
              <w:keepNext w:val="0"/>
              <w:keepLines w:val="0"/>
              <w:widowControl/>
              <w:suppressLineNumbers w:val="0"/>
              <w:shd w:val="clear"/>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r>
    </w:tbl>
    <w:p w14:paraId="462A77A7">
      <w:pPr>
        <w:shd w:val="clear"/>
        <w:spacing w:line="360" w:lineRule="auto"/>
        <w:ind w:firstLine="480" w:firstLineChars="200"/>
        <w:rPr>
          <w:rFonts w:hint="eastAsia"/>
          <w:b w:val="0"/>
          <w:bCs w:val="0"/>
          <w:highlight w:val="none"/>
          <w:lang w:val="zh-CN"/>
        </w:rPr>
      </w:pPr>
      <w:r>
        <w:rPr>
          <w:rFonts w:hint="eastAsia"/>
          <w:b w:val="0"/>
          <w:bCs w:val="0"/>
          <w:highlight w:val="none"/>
          <w:lang w:val="en-US" w:eastAsia="zh-CN"/>
        </w:rPr>
        <w:t>2</w:t>
      </w:r>
      <w:r>
        <w:rPr>
          <w:rFonts w:hint="eastAsia"/>
          <w:b w:val="0"/>
          <w:bCs w:val="0"/>
          <w:highlight w:val="none"/>
          <w:lang w:val="zh-CN"/>
        </w:rPr>
        <w:t>、</w:t>
      </w:r>
      <w:r>
        <w:rPr>
          <w:rFonts w:hint="eastAsia"/>
          <w:b w:val="0"/>
          <w:bCs w:val="0"/>
          <w:highlight w:val="none"/>
          <w:lang w:val="en-US" w:eastAsia="zh-CN"/>
        </w:rPr>
        <w:t>工作量为</w:t>
      </w:r>
      <w:r>
        <w:rPr>
          <w:rFonts w:hint="eastAsia"/>
          <w:b w:val="0"/>
          <w:bCs w:val="0"/>
          <w:highlight w:val="none"/>
          <w:lang w:val="zh-CN"/>
        </w:rPr>
        <w:t>预估工程量，</w:t>
      </w:r>
      <w:r>
        <w:rPr>
          <w:rFonts w:hint="eastAsia"/>
          <w:b w:val="0"/>
          <w:bCs w:val="0"/>
          <w:highlight w:val="none"/>
          <w:lang w:val="en-US" w:eastAsia="zh-CN"/>
        </w:rPr>
        <w:t>仅为方便评标确定单价使用</w:t>
      </w:r>
      <w:r>
        <w:rPr>
          <w:rFonts w:hint="eastAsia"/>
          <w:b w:val="0"/>
          <w:bCs w:val="0"/>
          <w:highlight w:val="none"/>
          <w:lang w:val="zh-CN"/>
        </w:rPr>
        <w:t>，</w:t>
      </w:r>
      <w:r>
        <w:rPr>
          <w:rFonts w:hint="eastAsia"/>
          <w:b w:val="0"/>
          <w:bCs w:val="0"/>
          <w:highlight w:val="none"/>
          <w:lang w:val="en-US" w:eastAsia="zh-CN"/>
        </w:rPr>
        <w:t>签订合同后</w:t>
      </w:r>
      <w:r>
        <w:rPr>
          <w:rFonts w:hint="eastAsia"/>
          <w:b w:val="0"/>
          <w:bCs w:val="0"/>
          <w:highlight w:val="none"/>
          <w:lang w:val="zh-CN"/>
        </w:rPr>
        <w:t>根据工作需要，按照实际工程量</w:t>
      </w:r>
      <w:r>
        <w:rPr>
          <w:rFonts w:hint="eastAsia"/>
          <w:b w:val="0"/>
          <w:bCs w:val="0"/>
          <w:highlight w:val="none"/>
          <w:lang w:val="en-US" w:eastAsia="zh-CN"/>
        </w:rPr>
        <w:t>和单价</w:t>
      </w:r>
      <w:r>
        <w:rPr>
          <w:rFonts w:hint="eastAsia"/>
          <w:b w:val="0"/>
          <w:bCs w:val="0"/>
          <w:highlight w:val="none"/>
          <w:lang w:val="zh-CN"/>
        </w:rPr>
        <w:t>结算。</w:t>
      </w:r>
    </w:p>
    <w:p w14:paraId="347FAE20">
      <w:pPr>
        <w:shd w:val="clear"/>
        <w:spacing w:line="360" w:lineRule="auto"/>
        <w:ind w:firstLine="480" w:firstLineChars="200"/>
        <w:rPr>
          <w:rFonts w:hint="eastAsia"/>
          <w:highlight w:val="none"/>
          <w:lang w:val="zh-CN"/>
        </w:rPr>
      </w:pPr>
      <w:r>
        <w:rPr>
          <w:rFonts w:hint="eastAsia"/>
          <w:highlight w:val="none"/>
          <w:lang w:val="en-US" w:eastAsia="zh-CN"/>
        </w:rPr>
        <w:t>3</w:t>
      </w:r>
      <w:r>
        <w:rPr>
          <w:rFonts w:hint="eastAsia"/>
          <w:highlight w:val="none"/>
          <w:lang w:val="zh-CN"/>
        </w:rPr>
        <w:t>、轴承、润滑脂及其它材料、往返运输、维修保养、试验等费用由</w:t>
      </w:r>
      <w:r>
        <w:rPr>
          <w:rFonts w:hint="eastAsia"/>
          <w:highlight w:val="none"/>
          <w:lang w:val="en-US" w:eastAsia="zh-CN"/>
        </w:rPr>
        <w:t>投标人</w:t>
      </w:r>
      <w:r>
        <w:rPr>
          <w:rFonts w:hint="eastAsia"/>
          <w:highlight w:val="none"/>
          <w:lang w:val="zh-CN"/>
        </w:rPr>
        <w:t>负责；生产现场电机拆线、电机拆除、起吊、安装找正、接线等工作由</w:t>
      </w:r>
      <w:r>
        <w:rPr>
          <w:rFonts w:hint="eastAsia"/>
          <w:highlight w:val="none"/>
          <w:lang w:val="en-US" w:eastAsia="zh-CN"/>
        </w:rPr>
        <w:t>招标人</w:t>
      </w:r>
      <w:r>
        <w:rPr>
          <w:rFonts w:hint="eastAsia"/>
          <w:highlight w:val="none"/>
          <w:lang w:val="zh-CN"/>
        </w:rPr>
        <w:t>负责。</w:t>
      </w:r>
    </w:p>
    <w:p w14:paraId="74A6A41F">
      <w:pPr>
        <w:shd w:val="clear"/>
        <w:spacing w:line="360" w:lineRule="auto"/>
        <w:ind w:firstLine="480" w:firstLineChars="200"/>
        <w:rPr>
          <w:rFonts w:hint="eastAsia"/>
          <w:highlight w:val="none"/>
          <w:lang w:val="zh-CN"/>
        </w:rPr>
      </w:pPr>
      <w:r>
        <w:rPr>
          <w:rFonts w:hint="eastAsia"/>
          <w:highlight w:val="none"/>
          <w:lang w:val="en-US" w:eastAsia="zh-CN"/>
        </w:rPr>
        <w:t>4</w:t>
      </w:r>
      <w:r>
        <w:rPr>
          <w:rFonts w:hint="eastAsia"/>
          <w:highlight w:val="none"/>
          <w:lang w:val="zh-CN"/>
        </w:rPr>
        <w:t>、</w:t>
      </w:r>
      <w:r>
        <w:rPr>
          <w:rFonts w:hint="eastAsia"/>
          <w:highlight w:val="none"/>
          <w:lang w:val="en-US" w:eastAsia="zh-CN"/>
        </w:rPr>
        <w:t>维修后开具</w:t>
      </w:r>
      <w:r>
        <w:rPr>
          <w:rFonts w:hint="eastAsia"/>
          <w:highlight w:val="none"/>
          <w:lang w:val="zh-CN"/>
        </w:rPr>
        <w:t>增值税</w:t>
      </w:r>
      <w:r>
        <w:rPr>
          <w:rFonts w:hint="eastAsia"/>
          <w:highlight w:val="none"/>
          <w:lang w:val="en-US" w:eastAsia="zh-CN"/>
        </w:rPr>
        <w:t>专用发票</w:t>
      </w:r>
      <w:r>
        <w:rPr>
          <w:rFonts w:hint="eastAsia"/>
          <w:highlight w:val="none"/>
          <w:lang w:val="zh-CN"/>
        </w:rPr>
        <w:t>，</w:t>
      </w:r>
      <w:r>
        <w:rPr>
          <w:rFonts w:hint="eastAsia"/>
          <w:highlight w:val="none"/>
          <w:lang w:val="en-US" w:eastAsia="zh-CN"/>
        </w:rPr>
        <w:t>银行承兑结算，</w:t>
      </w:r>
      <w:r>
        <w:rPr>
          <w:rFonts w:hint="eastAsia"/>
          <w:highlight w:val="none"/>
          <w:lang w:val="zh-CN"/>
        </w:rPr>
        <w:t>每季度结算一次，合同有效期内结算上限为</w:t>
      </w:r>
      <w:r>
        <w:rPr>
          <w:rFonts w:hint="eastAsia"/>
          <w:highlight w:val="none"/>
          <w:lang w:val="en-US" w:eastAsia="zh-CN"/>
        </w:rPr>
        <w:t>合同</w:t>
      </w:r>
      <w:r>
        <w:rPr>
          <w:rFonts w:hint="eastAsia"/>
          <w:highlight w:val="none"/>
          <w:lang w:val="zh-CN"/>
        </w:rPr>
        <w:t>价，合同到期或结算额达到结算上限后合同终止。</w:t>
      </w:r>
    </w:p>
    <w:p w14:paraId="4FF41E75">
      <w:pPr>
        <w:shd w:val="clear"/>
        <w:spacing w:line="360" w:lineRule="auto"/>
        <w:ind w:firstLine="480" w:firstLineChars="200"/>
        <w:rPr>
          <w:rFonts w:hint="eastAsia"/>
          <w:highlight w:val="none"/>
          <w:lang w:val="zh-CN"/>
        </w:rPr>
      </w:pPr>
      <w:r>
        <w:rPr>
          <w:rFonts w:hint="eastAsia"/>
          <w:highlight w:val="none"/>
          <w:lang w:val="zh-CN"/>
        </w:rPr>
        <w:t>5、承包方式：包工包料</w:t>
      </w:r>
    </w:p>
    <w:p w14:paraId="0B864A3E">
      <w:pPr>
        <w:shd w:val="clear"/>
        <w:spacing w:line="360" w:lineRule="auto"/>
        <w:ind w:firstLine="480" w:firstLineChars="200"/>
        <w:rPr>
          <w:rFonts w:hint="eastAsia"/>
          <w:highlight w:val="none"/>
          <w:lang w:val="zh-CN"/>
        </w:rPr>
      </w:pPr>
      <w:r>
        <w:rPr>
          <w:rFonts w:hint="eastAsia"/>
          <w:highlight w:val="none"/>
          <w:lang w:val="zh-CN"/>
        </w:rPr>
        <w:t>6、质量要求：</w:t>
      </w:r>
      <w:r>
        <w:rPr>
          <w:rFonts w:hint="eastAsia"/>
          <w:highlight w:val="none"/>
          <w:lang w:val="en-US" w:eastAsia="zh-CN"/>
        </w:rPr>
        <w:t>在约定时间内上门取件、修复并送回；</w:t>
      </w:r>
      <w:r>
        <w:rPr>
          <w:rFonts w:hint="eastAsia"/>
          <w:highlight w:val="none"/>
          <w:lang w:val="zh-CN"/>
        </w:rPr>
        <w:t>符合国家、行业相关质量验收标准（需要提供试验报告）；质量缺陷修复期：</w:t>
      </w:r>
      <w:r>
        <w:rPr>
          <w:rFonts w:hint="eastAsia"/>
          <w:highlight w:val="none"/>
          <w:shd w:val="clear"/>
          <w:lang w:val="zh-CN"/>
        </w:rPr>
        <w:t>22kW及以上电机为九个月，22kW以下电机为六个月</w:t>
      </w:r>
      <w:r>
        <w:rPr>
          <w:rFonts w:hint="eastAsia"/>
          <w:highlight w:val="none"/>
          <w:lang w:val="zh-CN"/>
        </w:rPr>
        <w:t>，维修保养后防护等级不低于原防护等级；轴承选用斯凯孚品牌轴承。</w:t>
      </w:r>
    </w:p>
    <w:p w14:paraId="2C732C0F">
      <w:pPr>
        <w:shd w:val="clear"/>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zh-CN" w:eastAsia="zh-CN"/>
        </w:rPr>
        <w:t>7、电机保养</w:t>
      </w:r>
      <w:r>
        <w:rPr>
          <w:rFonts w:hint="eastAsia" w:ascii="宋体" w:hAnsi="宋体" w:eastAsia="宋体" w:cs="宋体"/>
          <w:highlight w:val="none"/>
          <w:lang w:val="en-US" w:eastAsia="zh-CN"/>
        </w:rPr>
        <w:t>方式</w:t>
      </w:r>
      <w:r>
        <w:rPr>
          <w:rFonts w:hint="eastAsia" w:ascii="宋体" w:hAnsi="宋体" w:eastAsia="宋体" w:cs="宋体"/>
          <w:highlight w:val="none"/>
          <w:lang w:val="zh-CN" w:eastAsia="zh-CN"/>
        </w:rPr>
        <w:t>为</w:t>
      </w:r>
      <w:r>
        <w:rPr>
          <w:rFonts w:hint="eastAsia" w:ascii="宋体" w:hAnsi="宋体" w:eastAsia="宋体" w:cs="宋体"/>
          <w:highlight w:val="none"/>
          <w:lang w:val="en-US" w:eastAsia="zh-CN"/>
        </w:rPr>
        <w:t>拉回中标单位保养</w:t>
      </w:r>
      <w:r>
        <w:rPr>
          <w:rFonts w:hint="eastAsia" w:ascii="宋体" w:hAnsi="宋体" w:eastAsia="宋体" w:cs="宋体"/>
          <w:highlight w:val="none"/>
          <w:lang w:val="zh-CN" w:eastAsia="zh-CN"/>
        </w:rPr>
        <w:t>，保养范围为：</w:t>
      </w:r>
      <w:r>
        <w:rPr>
          <w:rFonts w:hint="eastAsia" w:ascii="宋体" w:hAnsi="宋体" w:eastAsia="宋体" w:cs="宋体"/>
          <w:highlight w:val="none"/>
          <w:lang w:val="en-US" w:eastAsia="zh-CN"/>
        </w:rPr>
        <w:t>电机机壳</w:t>
      </w:r>
      <w:r>
        <w:rPr>
          <w:rFonts w:hint="eastAsia" w:ascii="宋体" w:hAnsi="宋体" w:eastAsia="宋体" w:cs="宋体"/>
          <w:highlight w:val="none"/>
          <w:lang w:val="zh-CN" w:eastAsia="zh-CN"/>
        </w:rPr>
        <w:t>无加油孔的电机。</w:t>
      </w:r>
    </w:p>
    <w:p w14:paraId="6EDB6630">
      <w:pPr>
        <w:shd w:val="clear"/>
        <w:spacing w:line="360" w:lineRule="auto"/>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8、最高限价（元）：2</w:t>
      </w:r>
      <w:r>
        <w:rPr>
          <w:rFonts w:hint="eastAsia" w:cs="宋体"/>
          <w:highlight w:val="none"/>
          <w:lang w:val="en-US" w:eastAsia="zh-CN"/>
        </w:rPr>
        <w:t>5800</w:t>
      </w:r>
      <w:r>
        <w:rPr>
          <w:rFonts w:hint="eastAsia" w:ascii="宋体" w:hAnsi="宋体" w:eastAsia="宋体" w:cs="宋体"/>
          <w:highlight w:val="none"/>
          <w:lang w:val="en-US" w:eastAsia="zh-CN"/>
        </w:rPr>
        <w:t>0元（招标人投标报价超过最高限价的按无效投标处理）</w:t>
      </w:r>
    </w:p>
    <w:p w14:paraId="489744B4">
      <w:pPr>
        <w:pStyle w:val="2"/>
        <w:shd w:val="clear"/>
        <w:spacing w:after="0" w:line="360" w:lineRule="auto"/>
        <w:ind w:left="0" w:leftChars="0" w:firstLine="0" w:firstLineChars="0"/>
        <w:jc w:val="left"/>
        <w:outlineLvl w:val="0"/>
        <w:rPr>
          <w:b/>
          <w:bCs/>
          <w:kern w:val="2"/>
          <w:szCs w:val="22"/>
          <w:highlight w:val="none"/>
        </w:rPr>
      </w:pPr>
      <w:bookmarkStart w:id="6" w:name="_Toc1635"/>
      <w:r>
        <w:rPr>
          <w:b/>
          <w:bCs/>
          <w:kern w:val="2"/>
          <w:szCs w:val="22"/>
          <w:highlight w:val="none"/>
        </w:rPr>
        <w:t>四、</w:t>
      </w:r>
      <w:r>
        <w:rPr>
          <w:rFonts w:hint="eastAsia"/>
          <w:b/>
          <w:bCs/>
          <w:kern w:val="2"/>
          <w:szCs w:val="22"/>
          <w:highlight w:val="none"/>
        </w:rPr>
        <w:t>投标人</w:t>
      </w:r>
      <w:r>
        <w:rPr>
          <w:b/>
          <w:bCs/>
          <w:kern w:val="2"/>
          <w:szCs w:val="22"/>
          <w:highlight w:val="none"/>
        </w:rPr>
        <w:t>资格要求</w:t>
      </w:r>
      <w:bookmarkEnd w:id="6"/>
    </w:p>
    <w:p w14:paraId="64BC16E3">
      <w:pPr>
        <w:numPr>
          <w:ilvl w:val="0"/>
          <w:numId w:val="2"/>
        </w:numPr>
        <w:shd w:val="clear"/>
        <w:spacing w:line="360" w:lineRule="auto"/>
        <w:ind w:left="0" w:leftChars="0" w:firstLine="480" w:firstLineChars="200"/>
        <w:rPr>
          <w:rFonts w:hint="eastAsia"/>
          <w:highlight w:val="none"/>
          <w:lang w:val="zh-CN"/>
        </w:rPr>
      </w:pPr>
      <w:r>
        <w:rPr>
          <w:rFonts w:hint="eastAsia"/>
          <w:highlight w:val="none"/>
          <w:lang w:val="zh-CN"/>
        </w:rPr>
        <w:t>企业资质：注册资金100万及以上、依法成立，具有法人资格和一般纳税人资格，经营范围包含低压电机维修项目，具有履行合同必需的设备</w:t>
      </w:r>
      <w:r>
        <w:rPr>
          <w:rFonts w:hint="eastAsia" w:ascii="宋体" w:hAnsi="宋体" w:eastAsia="宋体" w:cs="宋体"/>
          <w:highlight w:val="none"/>
          <w:lang w:val="zh-CN"/>
        </w:rPr>
        <w:t>（VPI浸漆罐、烘箱等）、专业技术能力、质量管理体系；</w:t>
      </w:r>
    </w:p>
    <w:p w14:paraId="2AB3931F">
      <w:pPr>
        <w:numPr>
          <w:ilvl w:val="0"/>
          <w:numId w:val="2"/>
        </w:numPr>
        <w:shd w:val="clear"/>
        <w:spacing w:line="360" w:lineRule="auto"/>
        <w:ind w:left="0" w:leftChars="0" w:firstLine="480" w:firstLineChars="200"/>
        <w:rPr>
          <w:rFonts w:hint="default"/>
          <w:highlight w:val="none"/>
          <w:lang w:val="en-US" w:eastAsia="zh-CN"/>
        </w:rPr>
      </w:pPr>
      <w:r>
        <w:rPr>
          <w:rFonts w:hint="eastAsia"/>
          <w:highlight w:val="none"/>
          <w:lang w:val="en-US" w:eastAsia="zh-CN"/>
        </w:rPr>
        <w:t>2023年7月至今低压电机维修业绩不少于3份，一份合同计算一份业绩，需提供合同扫描件；</w:t>
      </w:r>
    </w:p>
    <w:p w14:paraId="37EB36FB">
      <w:pPr>
        <w:numPr>
          <w:ilvl w:val="0"/>
          <w:numId w:val="2"/>
        </w:numPr>
        <w:shd w:val="clear"/>
        <w:spacing w:line="360" w:lineRule="auto"/>
        <w:ind w:left="0" w:leftChars="0" w:firstLine="480" w:firstLineChars="200"/>
        <w:rPr>
          <w:rFonts w:hint="eastAsia"/>
          <w:highlight w:val="none"/>
          <w:lang w:val="zh-CN"/>
        </w:rPr>
      </w:pPr>
      <w:r>
        <w:rPr>
          <w:rFonts w:hint="eastAsia"/>
          <w:highlight w:val="none"/>
          <w:lang w:val="zh-CN"/>
        </w:rPr>
        <w:t>具有良好的企业信誉和健全的财务会计制度；</w:t>
      </w:r>
    </w:p>
    <w:p w14:paraId="43736FC1">
      <w:pPr>
        <w:numPr>
          <w:ilvl w:val="0"/>
          <w:numId w:val="2"/>
        </w:numPr>
        <w:shd w:val="clear"/>
        <w:spacing w:line="360" w:lineRule="auto"/>
        <w:ind w:left="0" w:leftChars="0" w:firstLine="480" w:firstLineChars="200"/>
        <w:rPr>
          <w:rFonts w:hint="eastAsia"/>
          <w:highlight w:val="none"/>
          <w:lang w:val="zh-CN"/>
        </w:rPr>
      </w:pPr>
      <w:r>
        <w:rPr>
          <w:rFonts w:hint="eastAsia"/>
          <w:highlight w:val="none"/>
          <w:lang w:val="zh-CN"/>
        </w:rPr>
        <w:t>有依法缴纳税收和社会保障金的良好纪录；</w:t>
      </w:r>
    </w:p>
    <w:p w14:paraId="2105773A">
      <w:pPr>
        <w:numPr>
          <w:ilvl w:val="0"/>
          <w:numId w:val="2"/>
        </w:numPr>
        <w:shd w:val="clear"/>
        <w:spacing w:line="360" w:lineRule="auto"/>
        <w:ind w:left="0" w:leftChars="0" w:firstLine="480" w:firstLineChars="200"/>
        <w:rPr>
          <w:rFonts w:hint="eastAsia"/>
          <w:highlight w:val="none"/>
          <w:lang w:val="zh-CN"/>
        </w:rPr>
      </w:pPr>
      <w:r>
        <w:rPr>
          <w:rFonts w:hint="eastAsia"/>
          <w:highlight w:val="none"/>
          <w:lang w:val="zh-CN"/>
        </w:rPr>
        <w:t>有依法缴纳税收和社会保障金的良好纪录；</w:t>
      </w:r>
    </w:p>
    <w:p w14:paraId="69FB9025">
      <w:pPr>
        <w:numPr>
          <w:ilvl w:val="0"/>
          <w:numId w:val="2"/>
        </w:numPr>
        <w:shd w:val="clear"/>
        <w:spacing w:line="360" w:lineRule="auto"/>
        <w:ind w:left="0" w:leftChars="0" w:firstLine="480" w:firstLineChars="200"/>
        <w:rPr>
          <w:rFonts w:hint="eastAsia"/>
          <w:highlight w:val="none"/>
          <w:lang w:val="zh-CN"/>
        </w:rPr>
      </w:pPr>
      <w:r>
        <w:rPr>
          <w:rFonts w:hint="eastAsia"/>
          <w:highlight w:val="none"/>
          <w:lang w:val="zh-CN"/>
        </w:rPr>
        <w:t>投标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09D97F96">
      <w:pPr>
        <w:numPr>
          <w:ilvl w:val="0"/>
          <w:numId w:val="2"/>
        </w:numPr>
        <w:shd w:val="clear"/>
        <w:spacing w:line="360" w:lineRule="auto"/>
        <w:ind w:left="0" w:leftChars="0" w:firstLine="480" w:firstLineChars="200"/>
        <w:rPr>
          <w:rFonts w:hint="eastAsia"/>
          <w:highlight w:val="none"/>
          <w:lang w:val="zh-CN"/>
        </w:rPr>
      </w:pPr>
      <w:r>
        <w:rPr>
          <w:rFonts w:hint="eastAsia"/>
          <w:highlight w:val="none"/>
          <w:lang w:val="zh-CN"/>
        </w:rPr>
        <w:t>如有单位资料造假，一经发现，立即在网上公示，并永久取消投标资格。</w:t>
      </w:r>
    </w:p>
    <w:p w14:paraId="36111F17">
      <w:pPr>
        <w:shd w:val="clear"/>
        <w:spacing w:line="360" w:lineRule="auto"/>
        <w:outlineLvl w:val="0"/>
        <w:rPr>
          <w:rFonts w:hint="eastAsia"/>
          <w:b/>
          <w:bCs/>
          <w:highlight w:val="none"/>
        </w:rPr>
      </w:pPr>
      <w:bookmarkStart w:id="7" w:name="_Toc13965"/>
      <w:r>
        <w:rPr>
          <w:rFonts w:hint="eastAsia" w:cs="Times New Roman"/>
          <w:b/>
          <w:bCs/>
          <w:kern w:val="2"/>
          <w:szCs w:val="22"/>
          <w:highlight w:val="none"/>
        </w:rPr>
        <w:t>五、</w:t>
      </w:r>
      <w:r>
        <w:rPr>
          <w:rFonts w:hint="eastAsia"/>
          <w:b/>
          <w:bCs/>
          <w:highlight w:val="none"/>
        </w:rPr>
        <w:t>公告和报名</w:t>
      </w:r>
      <w:bookmarkEnd w:id="7"/>
    </w:p>
    <w:p w14:paraId="67F4A9BF">
      <w:pPr>
        <w:shd w:val="clear"/>
        <w:spacing w:line="360" w:lineRule="auto"/>
        <w:ind w:firstLine="480" w:firstLineChars="200"/>
        <w:rPr>
          <w:rFonts w:hint="eastAsia"/>
          <w:highlight w:val="none"/>
        </w:rPr>
      </w:pPr>
      <w:r>
        <w:rPr>
          <w:rFonts w:hint="eastAsia"/>
          <w:highlight w:val="none"/>
        </w:rPr>
        <w:t>1、报名方式：通过登录济钢集团有限公司阳光购销平台网上报名(</w:t>
      </w:r>
      <w:r>
        <w:rPr>
          <w:rFonts w:hint="eastAsia"/>
          <w:highlight w:val="none"/>
          <w:lang w:val="zh-CN"/>
        </w:rPr>
        <w:t>不接受线下报名</w:t>
      </w:r>
      <w:r>
        <w:rPr>
          <w:rFonts w:hint="eastAsia"/>
          <w:highlight w:val="none"/>
        </w:rPr>
        <w:t>)，平台网址：</w:t>
      </w:r>
      <w:r>
        <w:rPr>
          <w:rFonts w:hint="eastAsia"/>
          <w:highlight w:val="none"/>
        </w:rPr>
        <w:fldChar w:fldCharType="begin"/>
      </w:r>
      <w:r>
        <w:rPr>
          <w:rFonts w:hint="eastAsia"/>
          <w:highlight w:val="none"/>
        </w:rPr>
        <w:instrText xml:space="preserve"> HYPERLINK "http://bidding.jigang.com.cn" </w:instrText>
      </w:r>
      <w:r>
        <w:rPr>
          <w:rFonts w:hint="eastAsia"/>
          <w:highlight w:val="none"/>
        </w:rPr>
        <w:fldChar w:fldCharType="separate"/>
      </w:r>
      <w:r>
        <w:rPr>
          <w:rFonts w:hint="eastAsia"/>
          <w:highlight w:val="none"/>
        </w:rPr>
        <w:t>http://bidding.jigang.com.cn</w:t>
      </w:r>
      <w:r>
        <w:rPr>
          <w:rFonts w:hint="eastAsia"/>
          <w:highlight w:val="none"/>
        </w:rPr>
        <w:fldChar w:fldCharType="end"/>
      </w:r>
      <w:r>
        <w:rPr>
          <w:rFonts w:hint="eastAsia"/>
          <w:highlight w:val="none"/>
        </w:rPr>
        <w:t xml:space="preserve">/； </w:t>
      </w:r>
    </w:p>
    <w:p w14:paraId="441F9C55">
      <w:pPr>
        <w:shd w:val="clear"/>
        <w:spacing w:line="360" w:lineRule="auto"/>
        <w:ind w:firstLine="480" w:firstLineChars="200"/>
        <w:rPr>
          <w:rFonts w:hint="eastAsia"/>
          <w:highlight w:val="none"/>
        </w:rPr>
      </w:pPr>
      <w:r>
        <w:rPr>
          <w:rFonts w:hint="eastAsia"/>
          <w:highlight w:val="none"/>
        </w:rPr>
        <w:t>2、公告和报名时间：</w:t>
      </w:r>
      <w:r>
        <w:rPr>
          <w:rFonts w:hint="eastAsia"/>
          <w:highlight w:val="none"/>
          <w:lang w:eastAsia="zh-CN"/>
        </w:rPr>
        <w:t>2026年</w:t>
      </w:r>
      <w:r>
        <w:rPr>
          <w:rFonts w:hint="eastAsia"/>
          <w:highlight w:val="none"/>
          <w:lang w:val="en-US" w:eastAsia="zh-CN"/>
        </w:rPr>
        <w:t>7</w:t>
      </w:r>
      <w:r>
        <w:rPr>
          <w:rFonts w:hint="eastAsia"/>
          <w:highlight w:val="none"/>
        </w:rPr>
        <w:t>月</w:t>
      </w:r>
      <w:r>
        <w:rPr>
          <w:rFonts w:hint="eastAsia"/>
          <w:highlight w:val="none"/>
          <w:lang w:val="en-US" w:eastAsia="zh-CN"/>
        </w:rPr>
        <w:t>8</w:t>
      </w:r>
      <w:r>
        <w:rPr>
          <w:rFonts w:hint="eastAsia"/>
          <w:highlight w:val="none"/>
        </w:rPr>
        <w:t>日～</w:t>
      </w:r>
      <w:r>
        <w:rPr>
          <w:rFonts w:hint="eastAsia"/>
          <w:highlight w:val="none"/>
          <w:lang w:eastAsia="zh-CN"/>
        </w:rPr>
        <w:t>2026年</w:t>
      </w:r>
      <w:r>
        <w:rPr>
          <w:rFonts w:hint="eastAsia"/>
          <w:highlight w:val="none"/>
          <w:lang w:val="en-US" w:eastAsia="zh-CN"/>
        </w:rPr>
        <w:t>7</w:t>
      </w:r>
      <w:r>
        <w:rPr>
          <w:rFonts w:hint="eastAsia"/>
          <w:highlight w:val="none"/>
        </w:rPr>
        <w:t>月</w:t>
      </w:r>
      <w:r>
        <w:rPr>
          <w:rFonts w:hint="eastAsia"/>
          <w:highlight w:val="none"/>
          <w:lang w:val="en-US" w:eastAsia="zh-CN"/>
        </w:rPr>
        <w:t>16</w:t>
      </w:r>
      <w:r>
        <w:rPr>
          <w:rFonts w:hint="eastAsia"/>
          <w:highlight w:val="none"/>
        </w:rPr>
        <w:t>日（北京时间）。</w:t>
      </w:r>
    </w:p>
    <w:p w14:paraId="2141F08E">
      <w:pPr>
        <w:widowControl w:val="0"/>
        <w:shd w:val="clear"/>
        <w:spacing w:line="360" w:lineRule="auto"/>
        <w:outlineLvl w:val="0"/>
        <w:rPr>
          <w:rFonts w:cs="Times New Roman"/>
          <w:b/>
          <w:bCs/>
          <w:kern w:val="2"/>
          <w:szCs w:val="22"/>
          <w:highlight w:val="none"/>
        </w:rPr>
      </w:pPr>
      <w:bookmarkStart w:id="8" w:name="_Toc31531"/>
      <w:r>
        <w:rPr>
          <w:rFonts w:hint="eastAsia" w:cs="Times New Roman"/>
          <w:b/>
          <w:bCs/>
          <w:kern w:val="2"/>
          <w:szCs w:val="22"/>
          <w:highlight w:val="none"/>
        </w:rPr>
        <w:t>六</w:t>
      </w:r>
      <w:r>
        <w:rPr>
          <w:rFonts w:cs="Times New Roman"/>
          <w:b/>
          <w:bCs/>
          <w:kern w:val="2"/>
          <w:szCs w:val="22"/>
          <w:highlight w:val="none"/>
        </w:rPr>
        <w:t>、</w:t>
      </w:r>
      <w:r>
        <w:rPr>
          <w:rFonts w:hint="eastAsia" w:cs="Times New Roman"/>
          <w:b/>
          <w:bCs/>
          <w:kern w:val="2"/>
          <w:szCs w:val="22"/>
          <w:highlight w:val="none"/>
        </w:rPr>
        <w:t>开标时间和方式</w:t>
      </w:r>
      <w:bookmarkEnd w:id="8"/>
    </w:p>
    <w:p w14:paraId="3D6E2A8C">
      <w:pPr>
        <w:widowControl w:val="0"/>
        <w:shd w:val="clear"/>
        <w:spacing w:line="360" w:lineRule="auto"/>
        <w:ind w:firstLine="480" w:firstLineChars="200"/>
        <w:rPr>
          <w:rFonts w:cs="Times New Roman"/>
          <w:kern w:val="2"/>
          <w:szCs w:val="22"/>
          <w:highlight w:val="none"/>
        </w:rPr>
      </w:pPr>
      <w:r>
        <w:rPr>
          <w:rFonts w:cs="Times New Roman"/>
          <w:kern w:val="2"/>
          <w:szCs w:val="22"/>
          <w:highlight w:val="none"/>
        </w:rPr>
        <w:t>1、</w:t>
      </w:r>
      <w:r>
        <w:rPr>
          <w:rFonts w:hint="eastAsia" w:cs="Times New Roman"/>
          <w:kern w:val="2"/>
          <w:szCs w:val="22"/>
          <w:highlight w:val="none"/>
        </w:rPr>
        <w:t>开标</w:t>
      </w:r>
      <w:r>
        <w:rPr>
          <w:rFonts w:cs="Times New Roman"/>
          <w:kern w:val="2"/>
          <w:szCs w:val="22"/>
          <w:highlight w:val="none"/>
        </w:rPr>
        <w:t>时间：</w:t>
      </w:r>
      <w:r>
        <w:rPr>
          <w:rFonts w:hint="eastAsia" w:cs="Times New Roman"/>
          <w:kern w:val="2"/>
          <w:szCs w:val="22"/>
          <w:highlight w:val="none"/>
          <w:lang w:eastAsia="zh-CN"/>
        </w:rPr>
        <w:t>2026年</w:t>
      </w:r>
      <w:r>
        <w:rPr>
          <w:rFonts w:hint="eastAsia" w:cs="Times New Roman"/>
          <w:kern w:val="2"/>
          <w:szCs w:val="22"/>
          <w:highlight w:val="none"/>
          <w:lang w:val="en-US" w:eastAsia="zh-CN"/>
        </w:rPr>
        <w:t>7</w:t>
      </w:r>
      <w:r>
        <w:rPr>
          <w:rFonts w:hint="eastAsia" w:cs="Times New Roman"/>
          <w:kern w:val="2"/>
          <w:szCs w:val="22"/>
          <w:highlight w:val="none"/>
        </w:rPr>
        <w:t>月</w:t>
      </w:r>
      <w:r>
        <w:rPr>
          <w:rFonts w:hint="eastAsia" w:cs="Times New Roman"/>
          <w:kern w:val="2"/>
          <w:szCs w:val="22"/>
          <w:highlight w:val="none"/>
          <w:lang w:val="en-US" w:eastAsia="zh-CN"/>
        </w:rPr>
        <w:t>21</w:t>
      </w:r>
      <w:r>
        <w:rPr>
          <w:rFonts w:hint="eastAsia" w:cs="Times New Roman"/>
          <w:kern w:val="2"/>
          <w:szCs w:val="22"/>
          <w:highlight w:val="none"/>
        </w:rPr>
        <w:t>日上午9点</w:t>
      </w:r>
      <w:r>
        <w:rPr>
          <w:rFonts w:cs="Times New Roman"/>
          <w:kern w:val="2"/>
          <w:szCs w:val="22"/>
          <w:highlight w:val="none"/>
        </w:rPr>
        <w:t>；</w:t>
      </w:r>
    </w:p>
    <w:p w14:paraId="72C0E16D">
      <w:pPr>
        <w:widowControl w:val="0"/>
        <w:shd w:val="clear"/>
        <w:spacing w:line="360" w:lineRule="auto"/>
        <w:ind w:firstLine="480" w:firstLineChars="200"/>
        <w:rPr>
          <w:rFonts w:hint="eastAsia"/>
          <w:highlight w:val="none"/>
        </w:rPr>
      </w:pPr>
      <w:r>
        <w:rPr>
          <w:rFonts w:cs="Times New Roman"/>
          <w:kern w:val="2"/>
          <w:szCs w:val="22"/>
          <w:highlight w:val="none"/>
        </w:rPr>
        <w:t>2、</w:t>
      </w:r>
      <w:r>
        <w:rPr>
          <w:rFonts w:hint="eastAsia"/>
          <w:highlight w:val="none"/>
        </w:rPr>
        <w:t>开标方式：</w:t>
      </w:r>
      <w:r>
        <w:rPr>
          <w:rFonts w:hint="eastAsia"/>
          <w:highlight w:val="none"/>
          <w:lang w:val="en-US" w:eastAsia="zh-CN"/>
        </w:rPr>
        <w:t>网上</w:t>
      </w:r>
      <w:r>
        <w:rPr>
          <w:rFonts w:hint="eastAsia"/>
          <w:highlight w:val="none"/>
        </w:rPr>
        <w:t>开标。</w:t>
      </w:r>
    </w:p>
    <w:p w14:paraId="07958A73">
      <w:pPr>
        <w:shd w:val="clear"/>
        <w:spacing w:line="360" w:lineRule="auto"/>
        <w:outlineLvl w:val="0"/>
        <w:rPr>
          <w:rFonts w:hint="eastAsia" w:cs="Times New Roman"/>
          <w:b/>
          <w:bCs/>
          <w:kern w:val="2"/>
          <w:szCs w:val="22"/>
          <w:highlight w:val="none"/>
        </w:rPr>
      </w:pPr>
      <w:bookmarkStart w:id="9" w:name="_Toc25711"/>
      <w:r>
        <w:rPr>
          <w:rFonts w:hint="eastAsia" w:cs="Times New Roman"/>
          <w:b/>
          <w:bCs/>
          <w:kern w:val="2"/>
          <w:szCs w:val="22"/>
          <w:highlight w:val="none"/>
        </w:rPr>
        <w:t>七</w:t>
      </w:r>
      <w:r>
        <w:rPr>
          <w:rFonts w:cs="Times New Roman"/>
          <w:b/>
          <w:bCs/>
          <w:kern w:val="2"/>
          <w:szCs w:val="22"/>
          <w:highlight w:val="none"/>
        </w:rPr>
        <w:t>、</w:t>
      </w:r>
      <w:r>
        <w:rPr>
          <w:rFonts w:hint="eastAsia" w:cs="Times New Roman"/>
          <w:b/>
          <w:bCs/>
          <w:kern w:val="2"/>
          <w:szCs w:val="22"/>
          <w:highlight w:val="none"/>
        </w:rPr>
        <w:t>投标</w:t>
      </w:r>
      <w:r>
        <w:rPr>
          <w:rFonts w:cs="Times New Roman"/>
          <w:b/>
          <w:bCs/>
          <w:kern w:val="2"/>
          <w:szCs w:val="22"/>
          <w:highlight w:val="none"/>
        </w:rPr>
        <w:t>保证金：</w:t>
      </w:r>
      <w:r>
        <w:rPr>
          <w:rFonts w:hint="eastAsia" w:cs="Times New Roman"/>
          <w:b/>
          <w:bCs/>
          <w:kern w:val="2"/>
          <w:szCs w:val="22"/>
          <w:highlight w:val="none"/>
          <w:lang w:val="en-US" w:eastAsia="zh-CN"/>
        </w:rPr>
        <w:t>无</w:t>
      </w:r>
      <w:bookmarkEnd w:id="9"/>
    </w:p>
    <w:p w14:paraId="4FF616AD">
      <w:pPr>
        <w:shd w:val="clear"/>
        <w:spacing w:line="360" w:lineRule="auto"/>
        <w:outlineLvl w:val="0"/>
        <w:rPr>
          <w:rFonts w:hint="eastAsia"/>
          <w:b/>
          <w:bCs/>
          <w:highlight w:val="none"/>
        </w:rPr>
      </w:pPr>
      <w:bookmarkStart w:id="10" w:name="_Toc8181"/>
      <w:r>
        <w:rPr>
          <w:rFonts w:hint="eastAsia"/>
          <w:b/>
          <w:bCs/>
          <w:highlight w:val="none"/>
        </w:rPr>
        <w:t>八、招标文件的获取方式</w:t>
      </w:r>
      <w:bookmarkEnd w:id="10"/>
    </w:p>
    <w:p w14:paraId="78156DF6">
      <w:pPr>
        <w:shd w:val="clear"/>
        <w:spacing w:line="360" w:lineRule="auto"/>
        <w:ind w:firstLine="480" w:firstLineChars="200"/>
        <w:rPr>
          <w:rFonts w:hint="eastAsia"/>
          <w:highlight w:val="none"/>
          <w:lang w:eastAsia="zh-CN"/>
        </w:rPr>
      </w:pPr>
      <w:r>
        <w:rPr>
          <w:rFonts w:hint="eastAsia"/>
          <w:highlight w:val="none"/>
        </w:rPr>
        <w:t>凡有意参加本次招标的投标人，在公告期内登陆：济钢集团有限公司阳光购销平台</w:t>
      </w:r>
      <w:r>
        <w:rPr>
          <w:rFonts w:hint="eastAsia"/>
          <w:highlight w:val="none"/>
        </w:rPr>
        <w:fldChar w:fldCharType="begin"/>
      </w:r>
      <w:r>
        <w:rPr>
          <w:rFonts w:hint="eastAsia"/>
          <w:highlight w:val="none"/>
        </w:rPr>
        <w:instrText xml:space="preserve"> HYPERLINK "http://bidding.jigang.com.cn" </w:instrText>
      </w:r>
      <w:r>
        <w:rPr>
          <w:rFonts w:hint="eastAsia"/>
          <w:highlight w:val="none"/>
        </w:rPr>
        <w:fldChar w:fldCharType="separate"/>
      </w:r>
      <w:r>
        <w:rPr>
          <w:rFonts w:hint="eastAsia"/>
          <w:highlight w:val="none"/>
        </w:rPr>
        <w:t>http://bidding.jigang.com.cn</w:t>
      </w:r>
      <w:r>
        <w:rPr>
          <w:rFonts w:hint="eastAsia"/>
          <w:highlight w:val="none"/>
        </w:rPr>
        <w:fldChar w:fldCharType="end"/>
      </w:r>
      <w:r>
        <w:rPr>
          <w:rFonts w:hint="eastAsia"/>
          <w:highlight w:val="none"/>
        </w:rPr>
        <w:t>/ ，注册用户成功后，须修改初始密码，重新登录后报名，报名成功后即可下载招标文件</w:t>
      </w:r>
      <w:r>
        <w:rPr>
          <w:rFonts w:hint="eastAsia"/>
          <w:highlight w:val="none"/>
          <w:lang w:eastAsia="zh-CN"/>
        </w:rPr>
        <w:t>。</w:t>
      </w:r>
    </w:p>
    <w:p w14:paraId="3D723B22">
      <w:pPr>
        <w:widowControl/>
        <w:shd w:val="clear"/>
        <w:autoSpaceDE w:val="0"/>
        <w:autoSpaceDN w:val="0"/>
        <w:adjustRightInd w:val="0"/>
        <w:spacing w:line="360" w:lineRule="exact"/>
        <w:jc w:val="left"/>
        <w:outlineLvl w:val="0"/>
        <w:rPr>
          <w:rFonts w:ascii="仿宋" w:hAnsi="仿宋" w:eastAsia="仿宋" w:cs="Arial Unicode MS"/>
          <w:kern w:val="0"/>
          <w:sz w:val="24"/>
          <w:szCs w:val="24"/>
          <w:highlight w:val="none"/>
          <w:lang w:val="zh-CN"/>
        </w:rPr>
      </w:pPr>
      <w:bookmarkStart w:id="11" w:name="_Toc29021"/>
      <w:r>
        <w:rPr>
          <w:rFonts w:hint="eastAsia"/>
          <w:b/>
          <w:bCs/>
          <w:highlight w:val="none"/>
          <w:lang w:val="en-US" w:eastAsia="zh-CN"/>
        </w:rPr>
        <w:t>九、</w:t>
      </w:r>
      <w:r>
        <w:rPr>
          <w:rFonts w:hint="eastAsia"/>
          <w:b/>
          <w:bCs/>
          <w:highlight w:val="none"/>
          <w:lang w:val="zh-CN"/>
        </w:rPr>
        <w:t>投标文件的递交</w:t>
      </w:r>
      <w:bookmarkEnd w:id="11"/>
    </w:p>
    <w:p w14:paraId="7ED41A0F">
      <w:pPr>
        <w:shd w:val="clear"/>
        <w:spacing w:line="360" w:lineRule="auto"/>
        <w:ind w:firstLine="480" w:firstLineChars="200"/>
        <w:rPr>
          <w:highlight w:val="none"/>
        </w:rPr>
      </w:pPr>
      <w:r>
        <w:rPr>
          <w:rFonts w:hint="eastAsia"/>
          <w:highlight w:val="none"/>
          <w:lang w:val="zh-CN"/>
        </w:rPr>
        <w:t>网上递交（上传）</w:t>
      </w:r>
      <w:r>
        <w:rPr>
          <w:rFonts w:hint="eastAsia"/>
          <w:highlight w:val="none"/>
          <w:lang w:val="en-US" w:eastAsia="zh-CN"/>
        </w:rPr>
        <w:t>谈判</w:t>
      </w:r>
      <w:r>
        <w:rPr>
          <w:rFonts w:hint="eastAsia"/>
          <w:highlight w:val="none"/>
          <w:lang w:val="zh-CN"/>
        </w:rPr>
        <w:t>文件，递交的截止时间（投标截止时间）为2026年</w:t>
      </w:r>
      <w:r>
        <w:rPr>
          <w:rFonts w:hint="eastAsia"/>
          <w:highlight w:val="none"/>
          <w:lang w:val="en-US" w:eastAsia="zh-CN"/>
        </w:rPr>
        <w:t>7</w:t>
      </w:r>
      <w:r>
        <w:rPr>
          <w:rFonts w:hint="eastAsia"/>
          <w:highlight w:val="none"/>
          <w:lang w:val="zh-CN"/>
        </w:rPr>
        <w:t>月</w:t>
      </w:r>
      <w:r>
        <w:rPr>
          <w:rFonts w:hint="eastAsia"/>
          <w:highlight w:val="none"/>
          <w:lang w:val="en-US" w:eastAsia="zh-CN"/>
        </w:rPr>
        <w:t>21</w:t>
      </w:r>
      <w:r>
        <w:rPr>
          <w:rFonts w:hint="eastAsia"/>
          <w:highlight w:val="none"/>
          <w:lang w:val="zh-CN"/>
        </w:rPr>
        <w:t>日</w:t>
      </w:r>
      <w:r>
        <w:rPr>
          <w:rFonts w:hint="eastAsia"/>
          <w:highlight w:val="none"/>
          <w:lang w:val="en-US" w:eastAsia="zh-CN"/>
        </w:rPr>
        <w:t>9</w:t>
      </w:r>
      <w:r>
        <w:rPr>
          <w:rFonts w:hint="eastAsia"/>
          <w:highlight w:val="none"/>
          <w:lang w:val="zh-CN"/>
        </w:rPr>
        <w:t>时，逾期递交的为无效投标；</w:t>
      </w:r>
      <w:r>
        <w:rPr>
          <w:rFonts w:hint="eastAsia"/>
          <w:highlight w:val="none"/>
          <w:lang w:val="en-US" w:eastAsia="zh-CN"/>
        </w:rPr>
        <w:t>投标文件不到开标时间无法打开请投标单位放心上传</w:t>
      </w:r>
      <w:r>
        <w:rPr>
          <w:rFonts w:hint="eastAsia"/>
          <w:highlight w:val="none"/>
          <w:lang w:val="zh-CN"/>
        </w:rPr>
        <w:t>。</w:t>
      </w:r>
    </w:p>
    <w:p w14:paraId="4C59CA5F">
      <w:pPr>
        <w:shd w:val="clear"/>
        <w:spacing w:line="360" w:lineRule="auto"/>
        <w:outlineLvl w:val="0"/>
        <w:rPr>
          <w:rFonts w:hint="eastAsia"/>
          <w:b/>
          <w:bCs/>
          <w:highlight w:val="none"/>
        </w:rPr>
      </w:pPr>
      <w:bookmarkStart w:id="12" w:name="_Toc29541"/>
      <w:r>
        <w:rPr>
          <w:rFonts w:hint="eastAsia"/>
          <w:b/>
          <w:bCs/>
          <w:highlight w:val="none"/>
          <w:lang w:val="en-US" w:eastAsia="zh-CN"/>
        </w:rPr>
        <w:t>十</w:t>
      </w:r>
      <w:r>
        <w:rPr>
          <w:rFonts w:hint="eastAsia"/>
          <w:b/>
          <w:bCs/>
          <w:highlight w:val="none"/>
        </w:rPr>
        <w:t>、资格审查</w:t>
      </w:r>
      <w:bookmarkEnd w:id="12"/>
    </w:p>
    <w:p w14:paraId="03B992A2">
      <w:pPr>
        <w:shd w:val="clear"/>
        <w:spacing w:line="360" w:lineRule="auto"/>
        <w:ind w:firstLine="480" w:firstLineChars="200"/>
        <w:rPr>
          <w:rFonts w:hint="eastAsia"/>
          <w:highlight w:val="none"/>
        </w:rPr>
      </w:pPr>
      <w:r>
        <w:rPr>
          <w:rFonts w:hint="eastAsia"/>
          <w:highlight w:val="none"/>
        </w:rPr>
        <w:t>资格后审，不接受联合体。</w:t>
      </w:r>
    </w:p>
    <w:p w14:paraId="6E402A64">
      <w:pPr>
        <w:shd w:val="clear"/>
        <w:spacing w:line="360" w:lineRule="auto"/>
        <w:outlineLvl w:val="0"/>
        <w:rPr>
          <w:rFonts w:hint="eastAsia"/>
          <w:b/>
          <w:bCs/>
          <w:highlight w:val="none"/>
        </w:rPr>
      </w:pPr>
      <w:bookmarkStart w:id="13" w:name="_Toc17407"/>
      <w:r>
        <w:rPr>
          <w:rFonts w:hint="eastAsia"/>
          <w:b/>
          <w:bCs/>
          <w:highlight w:val="none"/>
        </w:rPr>
        <w:t>十</w:t>
      </w:r>
      <w:r>
        <w:rPr>
          <w:rFonts w:hint="eastAsia"/>
          <w:b/>
          <w:bCs/>
          <w:highlight w:val="none"/>
          <w:lang w:val="en-US" w:eastAsia="zh-CN"/>
        </w:rPr>
        <w:t>一</w:t>
      </w:r>
      <w:r>
        <w:rPr>
          <w:rFonts w:hint="eastAsia"/>
          <w:b/>
          <w:bCs/>
          <w:highlight w:val="none"/>
        </w:rPr>
        <w:t>、招标人的名称、地址和联系人</w:t>
      </w:r>
      <w:bookmarkEnd w:id="13"/>
    </w:p>
    <w:p w14:paraId="441C0B4F">
      <w:pPr>
        <w:widowControl w:val="0"/>
        <w:shd w:val="clear"/>
        <w:spacing w:line="360" w:lineRule="auto"/>
        <w:ind w:firstLine="480" w:firstLineChars="200"/>
        <w:rPr>
          <w:rFonts w:cs="Times New Roman"/>
          <w:kern w:val="2"/>
          <w:szCs w:val="22"/>
          <w:highlight w:val="none"/>
        </w:rPr>
      </w:pPr>
      <w:r>
        <w:rPr>
          <w:rFonts w:hint="eastAsia"/>
          <w:highlight w:val="none"/>
        </w:rPr>
        <w:t>1、招标人的名称：</w:t>
      </w:r>
      <w:r>
        <w:rPr>
          <w:rFonts w:hint="eastAsia" w:cs="Times New Roman"/>
          <w:kern w:val="2"/>
          <w:szCs w:val="22"/>
          <w:highlight w:val="none"/>
        </w:rPr>
        <w:t>山东济钢</w:t>
      </w:r>
      <w:r>
        <w:rPr>
          <w:rFonts w:cs="Times New Roman"/>
          <w:kern w:val="2"/>
          <w:szCs w:val="22"/>
          <w:highlight w:val="none"/>
        </w:rPr>
        <w:t>环保新材料有限公司</w:t>
      </w:r>
    </w:p>
    <w:p w14:paraId="641A8976">
      <w:pPr>
        <w:pStyle w:val="2"/>
        <w:shd w:val="clear"/>
        <w:spacing w:after="0" w:line="360" w:lineRule="auto"/>
        <w:ind w:left="0" w:leftChars="0" w:firstLine="480"/>
        <w:rPr>
          <w:highlight w:val="none"/>
        </w:rPr>
      </w:pPr>
      <w:r>
        <w:rPr>
          <w:rFonts w:hint="eastAsia"/>
          <w:highlight w:val="none"/>
        </w:rPr>
        <w:t>2、招标人的地址：山东省济南市章丘区官庄街道青野村东</w:t>
      </w:r>
    </w:p>
    <w:p w14:paraId="0F8E36F7">
      <w:pPr>
        <w:shd w:val="clear"/>
        <w:spacing w:line="360" w:lineRule="auto"/>
        <w:ind w:firstLine="480" w:firstLineChars="200"/>
        <w:rPr>
          <w:highlight w:val="none"/>
        </w:rPr>
      </w:pPr>
      <w:r>
        <w:rPr>
          <w:rFonts w:hint="eastAsia"/>
          <w:highlight w:val="none"/>
        </w:rPr>
        <w:t>3</w:t>
      </w:r>
      <w:r>
        <w:rPr>
          <w:highlight w:val="none"/>
        </w:rPr>
        <w:t>、</w:t>
      </w:r>
      <w:r>
        <w:rPr>
          <w:rFonts w:hint="eastAsia"/>
          <w:highlight w:val="none"/>
        </w:rPr>
        <w:t>招标</w:t>
      </w:r>
      <w:r>
        <w:rPr>
          <w:rFonts w:hint="eastAsia"/>
          <w:highlight w:val="none"/>
          <w:lang w:val="en-US" w:eastAsia="zh-CN"/>
        </w:rPr>
        <w:t>平台操作咨询</w:t>
      </w:r>
      <w:r>
        <w:rPr>
          <w:highlight w:val="none"/>
        </w:rPr>
        <w:t>人：</w:t>
      </w:r>
      <w:r>
        <w:rPr>
          <w:rFonts w:hint="eastAsia"/>
          <w:highlight w:val="none"/>
          <w:lang w:val="en-US" w:eastAsia="zh-CN"/>
        </w:rPr>
        <w:t>于女士</w:t>
      </w:r>
      <w:r>
        <w:rPr>
          <w:highlight w:val="none"/>
        </w:rPr>
        <w:t>，联系电话：</w:t>
      </w:r>
      <w:r>
        <w:rPr>
          <w:rFonts w:hint="eastAsia"/>
          <w:highlight w:val="none"/>
          <w:lang w:val="en-US" w:eastAsia="zh-CN"/>
        </w:rPr>
        <w:t>17615831790</w:t>
      </w:r>
      <w:r>
        <w:rPr>
          <w:highlight w:val="none"/>
        </w:rPr>
        <w:t>；</w:t>
      </w:r>
    </w:p>
    <w:p w14:paraId="73D2C749">
      <w:pPr>
        <w:widowControl w:val="0"/>
        <w:shd w:val="clear"/>
        <w:spacing w:line="360" w:lineRule="auto"/>
        <w:ind w:firstLine="480" w:firstLineChars="200"/>
        <w:rPr>
          <w:rFonts w:hint="eastAsia"/>
          <w:highlight w:val="none"/>
        </w:rPr>
      </w:pPr>
      <w:r>
        <w:rPr>
          <w:rFonts w:hint="eastAsia"/>
          <w:highlight w:val="none"/>
        </w:rPr>
        <w:t>4</w:t>
      </w:r>
      <w:r>
        <w:rPr>
          <w:highlight w:val="none"/>
        </w:rPr>
        <w:t>、</w:t>
      </w:r>
      <w:r>
        <w:rPr>
          <w:rFonts w:hint="eastAsia"/>
          <w:highlight w:val="none"/>
          <w:lang w:val="en-US" w:eastAsia="zh-CN"/>
        </w:rPr>
        <w:t>技术</w:t>
      </w:r>
      <w:r>
        <w:rPr>
          <w:rFonts w:hint="eastAsia"/>
          <w:highlight w:val="none"/>
        </w:rPr>
        <w:t>业务</w:t>
      </w:r>
      <w:r>
        <w:rPr>
          <w:rFonts w:hint="eastAsia"/>
          <w:highlight w:val="none"/>
          <w:lang w:val="en-US" w:eastAsia="zh-CN"/>
        </w:rPr>
        <w:t>咨询</w:t>
      </w:r>
      <w:r>
        <w:rPr>
          <w:rFonts w:hint="eastAsia"/>
          <w:highlight w:val="none"/>
        </w:rPr>
        <w:t>人：侯先生，联系电话：15066666837</w:t>
      </w:r>
    </w:p>
    <w:p w14:paraId="662DE555">
      <w:pPr>
        <w:widowControl w:val="0"/>
        <w:shd w:val="clear"/>
        <w:spacing w:line="360" w:lineRule="auto"/>
        <w:outlineLvl w:val="0"/>
        <w:rPr>
          <w:rFonts w:cs="Times New Roman"/>
          <w:b/>
          <w:bCs/>
          <w:kern w:val="2"/>
          <w:szCs w:val="22"/>
          <w:highlight w:val="none"/>
        </w:rPr>
      </w:pPr>
      <w:bookmarkStart w:id="14" w:name="_Toc25038"/>
      <w:r>
        <w:rPr>
          <w:rFonts w:hint="eastAsia" w:cs="Times New Roman"/>
          <w:b/>
          <w:bCs/>
          <w:kern w:val="2"/>
          <w:szCs w:val="22"/>
          <w:highlight w:val="none"/>
        </w:rPr>
        <w:t>十</w:t>
      </w:r>
      <w:r>
        <w:rPr>
          <w:rFonts w:hint="eastAsia" w:cs="Times New Roman"/>
          <w:b/>
          <w:bCs/>
          <w:kern w:val="2"/>
          <w:szCs w:val="22"/>
          <w:highlight w:val="none"/>
          <w:lang w:val="en-US" w:eastAsia="zh-CN"/>
        </w:rPr>
        <w:t>二</w:t>
      </w:r>
      <w:r>
        <w:rPr>
          <w:rFonts w:cs="Times New Roman"/>
          <w:b/>
          <w:bCs/>
          <w:kern w:val="2"/>
          <w:szCs w:val="22"/>
          <w:highlight w:val="none"/>
        </w:rPr>
        <w:t>、</w:t>
      </w:r>
      <w:r>
        <w:rPr>
          <w:rFonts w:hint="eastAsia" w:cs="Times New Roman"/>
          <w:b/>
          <w:bCs/>
          <w:kern w:val="2"/>
          <w:szCs w:val="22"/>
          <w:highlight w:val="none"/>
        </w:rPr>
        <w:t>安全和</w:t>
      </w:r>
      <w:r>
        <w:rPr>
          <w:rFonts w:hint="eastAsia" w:cs="Times New Roman"/>
          <w:b/>
          <w:bCs/>
          <w:kern w:val="2"/>
          <w:szCs w:val="22"/>
          <w:highlight w:val="none"/>
          <w:lang w:val="en-US" w:eastAsia="zh-CN"/>
        </w:rPr>
        <w:t>其它</w:t>
      </w:r>
      <w:r>
        <w:rPr>
          <w:rFonts w:hint="eastAsia" w:cs="Times New Roman"/>
          <w:b/>
          <w:bCs/>
          <w:kern w:val="2"/>
          <w:szCs w:val="22"/>
          <w:highlight w:val="none"/>
        </w:rPr>
        <w:t>要求</w:t>
      </w:r>
      <w:bookmarkEnd w:id="14"/>
    </w:p>
    <w:p w14:paraId="4C76F6D0">
      <w:pPr>
        <w:widowControl w:val="0"/>
        <w:shd w:val="clear"/>
        <w:spacing w:line="360" w:lineRule="auto"/>
        <w:ind w:firstLine="480" w:firstLineChars="200"/>
        <w:rPr>
          <w:rFonts w:hint="eastAsia" w:cs="Times New Roman"/>
          <w:kern w:val="2"/>
          <w:szCs w:val="22"/>
          <w:highlight w:val="none"/>
        </w:rPr>
      </w:pPr>
      <w:r>
        <w:rPr>
          <w:rFonts w:hint="eastAsia" w:cs="Times New Roman"/>
          <w:kern w:val="2"/>
          <w:szCs w:val="22"/>
          <w:highlight w:val="none"/>
        </w:rPr>
        <w:t>1、需要</w:t>
      </w:r>
      <w:r>
        <w:rPr>
          <w:rFonts w:cs="Times New Roman"/>
          <w:kern w:val="2"/>
          <w:szCs w:val="22"/>
          <w:highlight w:val="none"/>
        </w:rPr>
        <w:t>现场</w:t>
      </w:r>
      <w:r>
        <w:rPr>
          <w:rFonts w:hint="eastAsia" w:cs="Times New Roman"/>
          <w:kern w:val="2"/>
          <w:szCs w:val="22"/>
          <w:highlight w:val="none"/>
        </w:rPr>
        <w:t>踏勘时，</w:t>
      </w:r>
      <w:r>
        <w:rPr>
          <w:rFonts w:cs="Times New Roman"/>
          <w:kern w:val="2"/>
          <w:szCs w:val="22"/>
          <w:highlight w:val="none"/>
        </w:rPr>
        <w:t>必须遵守安全管理规定，服从现场</w:t>
      </w:r>
      <w:r>
        <w:rPr>
          <w:rFonts w:hint="eastAsia" w:cs="Times New Roman"/>
          <w:kern w:val="2"/>
          <w:szCs w:val="22"/>
          <w:highlight w:val="none"/>
        </w:rPr>
        <w:t>人员</w:t>
      </w:r>
      <w:r>
        <w:rPr>
          <w:rFonts w:cs="Times New Roman"/>
          <w:kern w:val="2"/>
          <w:szCs w:val="22"/>
          <w:highlight w:val="none"/>
        </w:rPr>
        <w:t>指挥</w:t>
      </w:r>
      <w:r>
        <w:rPr>
          <w:rFonts w:hint="eastAsia" w:cs="Times New Roman"/>
          <w:kern w:val="2"/>
          <w:szCs w:val="22"/>
          <w:highlight w:val="none"/>
        </w:rPr>
        <w:t>。参加投标的</w:t>
      </w:r>
      <w:r>
        <w:rPr>
          <w:rFonts w:cs="Times New Roman"/>
          <w:kern w:val="2"/>
          <w:szCs w:val="22"/>
          <w:highlight w:val="none"/>
        </w:rPr>
        <w:t>人员在济钢集团有限公司的一切活动，必须遵守济钢集团有限公司的安全规定。</w:t>
      </w:r>
    </w:p>
    <w:p w14:paraId="2C716D05">
      <w:pPr>
        <w:widowControl w:val="0"/>
        <w:shd w:val="clear"/>
        <w:spacing w:line="360" w:lineRule="auto"/>
        <w:ind w:firstLine="480" w:firstLineChars="200"/>
        <w:rPr>
          <w:rFonts w:hint="eastAsia" w:cs="Times New Roman"/>
          <w:kern w:val="2"/>
          <w:szCs w:val="22"/>
          <w:highlight w:val="none"/>
        </w:rPr>
      </w:pPr>
      <w:r>
        <w:rPr>
          <w:rFonts w:hint="eastAsia" w:cs="Times New Roman"/>
          <w:kern w:val="2"/>
          <w:szCs w:val="22"/>
          <w:highlight w:val="none"/>
        </w:rPr>
        <w:t>2、</w:t>
      </w:r>
      <w:r>
        <w:rPr>
          <w:rFonts w:hint="eastAsia" w:cs="Times New Roman"/>
          <w:kern w:val="2"/>
          <w:szCs w:val="22"/>
          <w:highlight w:val="none"/>
          <w:lang w:val="en-US" w:eastAsia="zh-CN"/>
        </w:rPr>
        <w:t>如遇突发</w:t>
      </w:r>
      <w:r>
        <w:rPr>
          <w:rFonts w:hint="eastAsia"/>
          <w:color w:val="000000"/>
          <w:highlight w:val="none"/>
          <w:lang w:val="en-US" w:eastAsia="zh-CN"/>
        </w:rPr>
        <w:t>情况</w:t>
      </w:r>
      <w:r>
        <w:rPr>
          <w:rFonts w:hint="eastAsia"/>
          <w:color w:val="000000"/>
          <w:highlight w:val="none"/>
        </w:rPr>
        <w:t>，开标时间和开标方式可能受到影响，我方有权进行调整，并将在合理有限时间在</w:t>
      </w:r>
      <w:r>
        <w:rPr>
          <w:rFonts w:hint="eastAsia"/>
          <w:highlight w:val="none"/>
        </w:rPr>
        <w:t>济钢集团有限公司阳光购销平台上</w:t>
      </w:r>
      <w:r>
        <w:rPr>
          <w:rFonts w:hint="eastAsia"/>
          <w:color w:val="000000"/>
          <w:highlight w:val="none"/>
        </w:rPr>
        <w:t>发布公告。请</w:t>
      </w:r>
      <w:r>
        <w:rPr>
          <w:rFonts w:hint="eastAsia"/>
          <w:highlight w:val="none"/>
        </w:rPr>
        <w:t>有意参加的投标人</w:t>
      </w:r>
      <w:r>
        <w:rPr>
          <w:rFonts w:hint="eastAsia"/>
          <w:color w:val="000000"/>
          <w:highlight w:val="none"/>
        </w:rPr>
        <w:t>每日登陆系统，用注册的用户名查找是否有澄清通知等信息，招标人不再单独通知，怠于登陆造成的后果由投标人承担。</w:t>
      </w:r>
    </w:p>
    <w:p w14:paraId="6700BCB3">
      <w:pPr>
        <w:pStyle w:val="2"/>
        <w:shd w:val="clear"/>
        <w:ind w:left="0" w:leftChars="0" w:firstLine="0" w:firstLineChars="0"/>
        <w:outlineLvl w:val="0"/>
        <w:rPr>
          <w:b/>
          <w:bCs/>
          <w:highlight w:val="none"/>
        </w:rPr>
      </w:pPr>
      <w:bookmarkStart w:id="15" w:name="_Toc24188"/>
      <w:r>
        <w:rPr>
          <w:rFonts w:hint="eastAsia" w:ascii="宋体" w:hAnsi="宋体"/>
          <w:b/>
          <w:bCs/>
          <w:color w:val="000000"/>
          <w:highlight w:val="none"/>
        </w:rPr>
        <w:t>十</w:t>
      </w:r>
      <w:r>
        <w:rPr>
          <w:rFonts w:hint="eastAsia" w:ascii="宋体" w:hAnsi="宋体"/>
          <w:b/>
          <w:bCs/>
          <w:color w:val="000000"/>
          <w:highlight w:val="none"/>
          <w:lang w:val="en-US" w:eastAsia="zh-CN"/>
        </w:rPr>
        <w:t>三</w:t>
      </w:r>
      <w:r>
        <w:rPr>
          <w:rFonts w:hint="eastAsia" w:ascii="宋体" w:hAnsi="宋体"/>
          <w:b/>
          <w:bCs/>
          <w:color w:val="000000"/>
          <w:highlight w:val="none"/>
        </w:rPr>
        <w:t>、公告中的内容和要求以最终的招标文件为准。</w:t>
      </w:r>
      <w:bookmarkEnd w:id="15"/>
    </w:p>
    <w:p w14:paraId="37407C38">
      <w:pPr>
        <w:widowControl w:val="0"/>
        <w:shd w:val="clear"/>
        <w:spacing w:line="360" w:lineRule="auto"/>
        <w:ind w:firstLine="4320" w:firstLineChars="1800"/>
        <w:rPr>
          <w:rFonts w:cs="Times New Roman"/>
          <w:kern w:val="2"/>
          <w:szCs w:val="22"/>
          <w:highlight w:val="none"/>
        </w:rPr>
      </w:pPr>
      <w:r>
        <w:rPr>
          <w:rFonts w:hint="eastAsia" w:cs="Times New Roman"/>
          <w:kern w:val="2"/>
          <w:szCs w:val="22"/>
          <w:highlight w:val="none"/>
        </w:rPr>
        <w:t>山东济钢</w:t>
      </w:r>
      <w:r>
        <w:rPr>
          <w:rFonts w:cs="Times New Roman"/>
          <w:kern w:val="2"/>
          <w:szCs w:val="22"/>
          <w:highlight w:val="none"/>
        </w:rPr>
        <w:t>环保新材料有限公司</w:t>
      </w:r>
    </w:p>
    <w:p w14:paraId="57ED6FC9">
      <w:pPr>
        <w:widowControl w:val="0"/>
        <w:shd w:val="clear"/>
        <w:spacing w:line="360" w:lineRule="auto"/>
        <w:ind w:firstLine="5040" w:firstLineChars="2100"/>
        <w:rPr>
          <w:rFonts w:cs="Times New Roman"/>
          <w:kern w:val="2"/>
          <w:szCs w:val="22"/>
          <w:highlight w:val="none"/>
        </w:rPr>
      </w:pPr>
      <w:r>
        <w:rPr>
          <w:rFonts w:hint="eastAsia" w:cs="Times New Roman"/>
          <w:kern w:val="2"/>
          <w:szCs w:val="22"/>
          <w:highlight w:val="none"/>
          <w:lang w:eastAsia="zh-CN"/>
        </w:rPr>
        <w:t>2026年</w:t>
      </w:r>
      <w:r>
        <w:rPr>
          <w:rFonts w:hint="eastAsia" w:cs="Times New Roman"/>
          <w:kern w:val="2"/>
          <w:szCs w:val="22"/>
          <w:highlight w:val="none"/>
          <w:lang w:val="en-US" w:eastAsia="zh-CN"/>
        </w:rPr>
        <w:t>7</w:t>
      </w:r>
      <w:r>
        <w:rPr>
          <w:rFonts w:cs="Times New Roman"/>
          <w:kern w:val="2"/>
          <w:szCs w:val="22"/>
          <w:highlight w:val="none"/>
        </w:rPr>
        <w:t>月</w:t>
      </w:r>
      <w:r>
        <w:rPr>
          <w:rFonts w:hint="eastAsia" w:cs="Times New Roman"/>
          <w:kern w:val="2"/>
          <w:szCs w:val="22"/>
          <w:highlight w:val="none"/>
          <w:lang w:val="en-US" w:eastAsia="zh-CN"/>
        </w:rPr>
        <w:t>8</w:t>
      </w:r>
      <w:r>
        <w:rPr>
          <w:rFonts w:cs="Times New Roman"/>
          <w:kern w:val="2"/>
          <w:szCs w:val="22"/>
          <w:highlight w:val="none"/>
        </w:rPr>
        <w:t>日</w:t>
      </w:r>
    </w:p>
    <w:p w14:paraId="567A21F1">
      <w:pPr>
        <w:pStyle w:val="56"/>
        <w:shd w:val="clear"/>
        <w:spacing w:before="156"/>
        <w:rPr>
          <w:b w:val="0"/>
          <w:bCs/>
          <w:sz w:val="36"/>
          <w:szCs w:val="36"/>
          <w:highlight w:val="none"/>
        </w:rPr>
      </w:pPr>
      <w:bookmarkStart w:id="16" w:name="_Toc508871671"/>
      <w:r>
        <w:rPr>
          <w:b w:val="0"/>
          <w:bCs/>
          <w:sz w:val="36"/>
          <w:szCs w:val="36"/>
          <w:highlight w:val="none"/>
        </w:rPr>
        <w:br w:type="page"/>
      </w:r>
      <w:bookmarkStart w:id="17" w:name="_Toc5970"/>
      <w:bookmarkStart w:id="18" w:name="_Toc17877_WPSOffice_Level1"/>
      <w:r>
        <w:rPr>
          <w:rFonts w:hint="eastAsia"/>
          <w:b w:val="0"/>
          <w:bCs/>
          <w:sz w:val="36"/>
          <w:szCs w:val="36"/>
          <w:highlight w:val="none"/>
        </w:rPr>
        <w:t>第二章</w:t>
      </w:r>
      <w:r>
        <w:rPr>
          <w:b w:val="0"/>
          <w:bCs/>
          <w:sz w:val="36"/>
          <w:szCs w:val="36"/>
          <w:highlight w:val="none"/>
        </w:rPr>
        <w:t xml:space="preserve">  </w:t>
      </w:r>
      <w:r>
        <w:rPr>
          <w:rFonts w:hint="eastAsia"/>
          <w:b w:val="0"/>
          <w:bCs/>
          <w:sz w:val="36"/>
          <w:szCs w:val="36"/>
          <w:highlight w:val="none"/>
        </w:rPr>
        <w:t>招标须知</w:t>
      </w:r>
      <w:bookmarkEnd w:id="16"/>
      <w:bookmarkEnd w:id="17"/>
      <w:bookmarkEnd w:id="18"/>
    </w:p>
    <w:p w14:paraId="7B4C31C4">
      <w:pPr>
        <w:pStyle w:val="64"/>
        <w:shd w:val="clear"/>
        <w:ind w:left="851" w:leftChars="0" w:hanging="851" w:firstLineChars="0"/>
        <w:outlineLvl w:val="9"/>
        <w:rPr>
          <w:sz w:val="30"/>
          <w:szCs w:val="30"/>
          <w:highlight w:val="none"/>
        </w:rPr>
      </w:pPr>
      <w:bookmarkStart w:id="19" w:name="_Toc3231"/>
      <w:bookmarkStart w:id="20" w:name="_Toc508871672"/>
      <w:r>
        <w:rPr>
          <w:rStyle w:val="96"/>
          <w:rFonts w:hint="eastAsia"/>
          <w:b w:val="0"/>
          <w:bCs w:val="0"/>
          <w:highlight w:val="none"/>
        </w:rPr>
        <w:t>须知前附表</w:t>
      </w:r>
      <w:bookmarkEnd w:id="19"/>
      <w:bookmarkEnd w:id="20"/>
    </w:p>
    <w:tbl>
      <w:tblPr>
        <w:tblStyle w:val="46"/>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60"/>
        <w:gridCol w:w="7138"/>
        <w:gridCol w:w="13"/>
      </w:tblGrid>
      <w:tr w14:paraId="152D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8" w:type="dxa"/>
            <w:noWrap w:val="0"/>
            <w:vAlign w:val="center"/>
          </w:tcPr>
          <w:p w14:paraId="3B6A821B">
            <w:pPr>
              <w:shd w:val="clear"/>
              <w:spacing w:line="400" w:lineRule="exact"/>
              <w:jc w:val="center"/>
              <w:rPr>
                <w:b/>
                <w:highlight w:val="none"/>
              </w:rPr>
            </w:pPr>
            <w:r>
              <w:rPr>
                <w:rFonts w:hint="eastAsia"/>
                <w:b/>
                <w:highlight w:val="none"/>
              </w:rPr>
              <w:t>条款号</w:t>
            </w:r>
          </w:p>
        </w:tc>
        <w:tc>
          <w:tcPr>
            <w:tcW w:w="1660" w:type="dxa"/>
            <w:noWrap w:val="0"/>
            <w:vAlign w:val="center"/>
          </w:tcPr>
          <w:p w14:paraId="681F83F6">
            <w:pPr>
              <w:shd w:val="clear"/>
              <w:spacing w:line="400" w:lineRule="exact"/>
              <w:jc w:val="center"/>
              <w:rPr>
                <w:b/>
                <w:highlight w:val="none"/>
              </w:rPr>
            </w:pPr>
            <w:r>
              <w:rPr>
                <w:rFonts w:hint="eastAsia"/>
                <w:b/>
                <w:highlight w:val="none"/>
              </w:rPr>
              <w:t>条款名称</w:t>
            </w:r>
          </w:p>
        </w:tc>
        <w:tc>
          <w:tcPr>
            <w:tcW w:w="7151" w:type="dxa"/>
            <w:gridSpan w:val="2"/>
            <w:noWrap w:val="0"/>
            <w:vAlign w:val="center"/>
          </w:tcPr>
          <w:p w14:paraId="066D52F4">
            <w:pPr>
              <w:shd w:val="clear"/>
              <w:spacing w:line="340" w:lineRule="exact"/>
              <w:jc w:val="center"/>
              <w:rPr>
                <w:b/>
                <w:highlight w:val="none"/>
              </w:rPr>
            </w:pPr>
            <w:r>
              <w:rPr>
                <w:rFonts w:hint="eastAsia"/>
                <w:b/>
                <w:highlight w:val="none"/>
              </w:rPr>
              <w:t>编列内容</w:t>
            </w:r>
          </w:p>
        </w:tc>
      </w:tr>
      <w:tr w14:paraId="14AC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624A344">
            <w:pPr>
              <w:shd w:val="clear"/>
              <w:jc w:val="center"/>
              <w:rPr>
                <w:highlight w:val="none"/>
              </w:rPr>
            </w:pPr>
            <w:r>
              <w:rPr>
                <w:rFonts w:hint="eastAsia"/>
                <w:highlight w:val="none"/>
              </w:rPr>
              <w:t>1.1.1</w:t>
            </w:r>
          </w:p>
        </w:tc>
        <w:tc>
          <w:tcPr>
            <w:tcW w:w="1660" w:type="dxa"/>
            <w:noWrap w:val="0"/>
            <w:vAlign w:val="center"/>
          </w:tcPr>
          <w:p w14:paraId="79E01D81">
            <w:pPr>
              <w:shd w:val="clear"/>
              <w:jc w:val="center"/>
              <w:rPr>
                <w:highlight w:val="none"/>
              </w:rPr>
            </w:pPr>
            <w:r>
              <w:rPr>
                <w:rFonts w:hint="eastAsia"/>
                <w:highlight w:val="none"/>
              </w:rPr>
              <w:t>招标人</w:t>
            </w:r>
          </w:p>
        </w:tc>
        <w:tc>
          <w:tcPr>
            <w:tcW w:w="7151" w:type="dxa"/>
            <w:gridSpan w:val="2"/>
            <w:noWrap w:val="0"/>
            <w:vAlign w:val="center"/>
          </w:tcPr>
          <w:p w14:paraId="31A3C0D0">
            <w:pPr>
              <w:shd w:val="clear"/>
              <w:spacing w:line="340" w:lineRule="exact"/>
              <w:rPr>
                <w:highlight w:val="none"/>
              </w:rPr>
            </w:pPr>
            <w:r>
              <w:rPr>
                <w:rFonts w:hint="eastAsia"/>
                <w:highlight w:val="none"/>
              </w:rPr>
              <w:t>山东济钢环保新材料有限公司</w:t>
            </w:r>
          </w:p>
        </w:tc>
      </w:tr>
      <w:tr w14:paraId="1FEC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BF9879C">
            <w:pPr>
              <w:shd w:val="clear"/>
              <w:jc w:val="center"/>
              <w:rPr>
                <w:highlight w:val="none"/>
              </w:rPr>
            </w:pPr>
            <w:r>
              <w:rPr>
                <w:rFonts w:hint="eastAsia"/>
                <w:highlight w:val="none"/>
              </w:rPr>
              <w:t>1.1.2</w:t>
            </w:r>
          </w:p>
        </w:tc>
        <w:tc>
          <w:tcPr>
            <w:tcW w:w="1660" w:type="dxa"/>
            <w:noWrap w:val="0"/>
            <w:vAlign w:val="center"/>
          </w:tcPr>
          <w:p w14:paraId="6D3DECD4">
            <w:pPr>
              <w:shd w:val="clear"/>
              <w:jc w:val="center"/>
              <w:rPr>
                <w:highlight w:val="none"/>
              </w:rPr>
            </w:pPr>
            <w:r>
              <w:rPr>
                <w:rFonts w:hint="eastAsia"/>
                <w:highlight w:val="none"/>
              </w:rPr>
              <w:t>项目名称</w:t>
            </w:r>
          </w:p>
        </w:tc>
        <w:tc>
          <w:tcPr>
            <w:tcW w:w="7151" w:type="dxa"/>
            <w:gridSpan w:val="2"/>
            <w:noWrap w:val="0"/>
            <w:vAlign w:val="center"/>
          </w:tcPr>
          <w:p w14:paraId="3D900829">
            <w:pPr>
              <w:shd w:val="clear"/>
              <w:spacing w:line="340" w:lineRule="exact"/>
              <w:rPr>
                <w:rFonts w:hint="default" w:eastAsia="宋体"/>
                <w:highlight w:val="none"/>
                <w:lang w:val="en-US" w:eastAsia="zh-CN"/>
              </w:rPr>
            </w:pPr>
            <w:r>
              <w:rPr>
                <w:rFonts w:hint="eastAsia"/>
                <w:highlight w:val="none"/>
                <w:lang w:val="zh-CN" w:eastAsia="zh-CN"/>
              </w:rPr>
              <w:t>2026年-2027年低压电机及水泵维修保养服务项目</w:t>
            </w:r>
          </w:p>
        </w:tc>
      </w:tr>
      <w:tr w14:paraId="2698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958" w:type="dxa"/>
            <w:noWrap w:val="0"/>
            <w:vAlign w:val="center"/>
          </w:tcPr>
          <w:p w14:paraId="37D2E639">
            <w:pPr>
              <w:shd w:val="clear"/>
              <w:jc w:val="center"/>
              <w:rPr>
                <w:highlight w:val="none"/>
              </w:rPr>
            </w:pPr>
            <w:r>
              <w:rPr>
                <w:rFonts w:hint="eastAsia"/>
                <w:highlight w:val="none"/>
              </w:rPr>
              <w:t>1.1.3</w:t>
            </w:r>
          </w:p>
        </w:tc>
        <w:tc>
          <w:tcPr>
            <w:tcW w:w="1660" w:type="dxa"/>
            <w:noWrap w:val="0"/>
            <w:vAlign w:val="center"/>
          </w:tcPr>
          <w:p w14:paraId="275A56A4">
            <w:pPr>
              <w:shd w:val="clear"/>
              <w:spacing w:line="240" w:lineRule="atLeast"/>
              <w:jc w:val="center"/>
              <w:rPr>
                <w:highlight w:val="none"/>
              </w:rPr>
            </w:pPr>
            <w:r>
              <w:rPr>
                <w:rFonts w:hint="eastAsia"/>
                <w:highlight w:val="none"/>
              </w:rPr>
              <w:t>项目概况</w:t>
            </w:r>
          </w:p>
        </w:tc>
        <w:tc>
          <w:tcPr>
            <w:tcW w:w="7151" w:type="dxa"/>
            <w:gridSpan w:val="2"/>
            <w:noWrap w:val="0"/>
            <w:vAlign w:val="center"/>
          </w:tcPr>
          <w:p w14:paraId="750539FB">
            <w:pPr>
              <w:shd w:val="clear"/>
              <w:spacing w:line="340" w:lineRule="exact"/>
              <w:rPr>
                <w:rFonts w:hint="default" w:eastAsia="宋体"/>
                <w:highlight w:val="none"/>
                <w:lang w:val="en-US" w:eastAsia="zh-CN"/>
              </w:rPr>
            </w:pPr>
            <w:r>
              <w:rPr>
                <w:rFonts w:hint="eastAsia"/>
                <w:highlight w:val="none"/>
                <w:lang w:val="zh-CN" w:eastAsia="zh-CN"/>
              </w:rPr>
              <w:t>低压电机及水泵维修保养，</w:t>
            </w:r>
            <w:r>
              <w:rPr>
                <w:rFonts w:hint="eastAsia"/>
                <w:highlight w:val="none"/>
                <w:lang w:val="en-US" w:eastAsia="zh-CN"/>
              </w:rPr>
              <w:t>确定单价后按照实际工作量和单价据实结算</w:t>
            </w:r>
          </w:p>
        </w:tc>
      </w:tr>
      <w:tr w14:paraId="2081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216A7D10">
            <w:pPr>
              <w:shd w:val="clear"/>
              <w:jc w:val="center"/>
              <w:rPr>
                <w:rFonts w:hint="eastAsia"/>
                <w:highlight w:val="none"/>
              </w:rPr>
            </w:pPr>
            <w:r>
              <w:rPr>
                <w:rFonts w:hint="eastAsia"/>
                <w:highlight w:val="none"/>
              </w:rPr>
              <w:t>1.1.4</w:t>
            </w:r>
          </w:p>
        </w:tc>
        <w:tc>
          <w:tcPr>
            <w:tcW w:w="1660" w:type="dxa"/>
            <w:noWrap w:val="0"/>
            <w:vAlign w:val="center"/>
          </w:tcPr>
          <w:p w14:paraId="669CCA4D">
            <w:pPr>
              <w:shd w:val="clear"/>
              <w:spacing w:line="240" w:lineRule="atLeast"/>
              <w:jc w:val="center"/>
              <w:rPr>
                <w:highlight w:val="none"/>
              </w:rPr>
            </w:pPr>
            <w:r>
              <w:rPr>
                <w:rFonts w:hint="eastAsia"/>
                <w:highlight w:val="none"/>
              </w:rPr>
              <w:t>项目地点</w:t>
            </w:r>
          </w:p>
        </w:tc>
        <w:tc>
          <w:tcPr>
            <w:tcW w:w="7151" w:type="dxa"/>
            <w:gridSpan w:val="2"/>
            <w:noWrap w:val="0"/>
            <w:vAlign w:val="center"/>
          </w:tcPr>
          <w:p w14:paraId="0431BD99">
            <w:pPr>
              <w:shd w:val="clear"/>
              <w:spacing w:line="340" w:lineRule="exact"/>
              <w:rPr>
                <w:highlight w:val="none"/>
              </w:rPr>
            </w:pPr>
            <w:r>
              <w:rPr>
                <w:rFonts w:hint="eastAsia"/>
                <w:highlight w:val="none"/>
              </w:rPr>
              <w:t>山东省济南市章丘区官庄街道青野村东</w:t>
            </w:r>
          </w:p>
        </w:tc>
      </w:tr>
      <w:tr w14:paraId="2553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19B7971C">
            <w:pPr>
              <w:shd w:val="clear"/>
              <w:jc w:val="center"/>
              <w:rPr>
                <w:highlight w:val="none"/>
              </w:rPr>
            </w:pPr>
            <w:r>
              <w:rPr>
                <w:rFonts w:hint="eastAsia"/>
                <w:highlight w:val="none"/>
              </w:rPr>
              <w:t>1.2.1</w:t>
            </w:r>
          </w:p>
        </w:tc>
        <w:tc>
          <w:tcPr>
            <w:tcW w:w="1660" w:type="dxa"/>
            <w:noWrap w:val="0"/>
            <w:vAlign w:val="center"/>
          </w:tcPr>
          <w:p w14:paraId="17E2A586">
            <w:pPr>
              <w:shd w:val="clear"/>
              <w:spacing w:line="240" w:lineRule="atLeast"/>
              <w:jc w:val="center"/>
              <w:rPr>
                <w:highlight w:val="none"/>
              </w:rPr>
            </w:pPr>
            <w:r>
              <w:rPr>
                <w:rFonts w:hint="eastAsia"/>
                <w:highlight w:val="none"/>
              </w:rPr>
              <w:t>资金来源</w:t>
            </w:r>
          </w:p>
        </w:tc>
        <w:tc>
          <w:tcPr>
            <w:tcW w:w="7151" w:type="dxa"/>
            <w:gridSpan w:val="2"/>
            <w:noWrap w:val="0"/>
            <w:vAlign w:val="center"/>
          </w:tcPr>
          <w:p w14:paraId="38D1191D">
            <w:pPr>
              <w:shd w:val="clear"/>
              <w:spacing w:line="340" w:lineRule="exact"/>
              <w:rPr>
                <w:highlight w:val="none"/>
              </w:rPr>
            </w:pPr>
            <w:r>
              <w:rPr>
                <w:rFonts w:hint="eastAsia"/>
                <w:highlight w:val="none"/>
              </w:rPr>
              <w:t>自有资金</w:t>
            </w:r>
          </w:p>
          <w:p w14:paraId="4A0F9941">
            <w:pPr>
              <w:shd w:val="clear"/>
              <w:spacing w:line="340" w:lineRule="exact"/>
              <w:rPr>
                <w:highlight w:val="none"/>
              </w:rPr>
            </w:pPr>
          </w:p>
        </w:tc>
      </w:tr>
      <w:tr w14:paraId="73A9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133E48D2">
            <w:pPr>
              <w:shd w:val="clear"/>
              <w:jc w:val="center"/>
              <w:rPr>
                <w:highlight w:val="none"/>
              </w:rPr>
            </w:pPr>
            <w:r>
              <w:rPr>
                <w:rFonts w:hint="eastAsia"/>
                <w:highlight w:val="none"/>
              </w:rPr>
              <w:t>1.2.2</w:t>
            </w:r>
          </w:p>
        </w:tc>
        <w:tc>
          <w:tcPr>
            <w:tcW w:w="1660" w:type="dxa"/>
            <w:noWrap w:val="0"/>
            <w:vAlign w:val="center"/>
          </w:tcPr>
          <w:p w14:paraId="018FCEFB">
            <w:pPr>
              <w:shd w:val="clear"/>
              <w:spacing w:line="240" w:lineRule="atLeast"/>
              <w:jc w:val="center"/>
              <w:rPr>
                <w:highlight w:val="none"/>
              </w:rPr>
            </w:pPr>
            <w:r>
              <w:rPr>
                <w:rFonts w:hint="eastAsia"/>
                <w:highlight w:val="none"/>
              </w:rPr>
              <w:t>招标方式</w:t>
            </w:r>
          </w:p>
        </w:tc>
        <w:tc>
          <w:tcPr>
            <w:tcW w:w="7151" w:type="dxa"/>
            <w:gridSpan w:val="2"/>
            <w:noWrap w:val="0"/>
            <w:vAlign w:val="center"/>
          </w:tcPr>
          <w:p w14:paraId="7DF465D0">
            <w:pPr>
              <w:shd w:val="clear"/>
              <w:spacing w:line="340" w:lineRule="exact"/>
              <w:rPr>
                <w:highlight w:val="none"/>
              </w:rPr>
            </w:pPr>
            <w:r>
              <w:rPr>
                <w:rFonts w:hint="eastAsia"/>
                <w:highlight w:val="none"/>
              </w:rPr>
              <w:t>公开招标，资格后审</w:t>
            </w:r>
          </w:p>
        </w:tc>
      </w:tr>
      <w:tr w14:paraId="6253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958" w:type="dxa"/>
            <w:noWrap w:val="0"/>
            <w:vAlign w:val="center"/>
          </w:tcPr>
          <w:p w14:paraId="39B3A8E5">
            <w:pPr>
              <w:shd w:val="clear"/>
              <w:jc w:val="center"/>
              <w:rPr>
                <w:highlight w:val="none"/>
              </w:rPr>
            </w:pPr>
            <w:r>
              <w:rPr>
                <w:rFonts w:hint="eastAsia"/>
                <w:highlight w:val="none"/>
              </w:rPr>
              <w:t>1.3.1</w:t>
            </w:r>
          </w:p>
        </w:tc>
        <w:tc>
          <w:tcPr>
            <w:tcW w:w="1660" w:type="dxa"/>
            <w:noWrap w:val="0"/>
            <w:vAlign w:val="center"/>
          </w:tcPr>
          <w:p w14:paraId="358D2E95">
            <w:pPr>
              <w:shd w:val="clear"/>
              <w:spacing w:line="360" w:lineRule="exact"/>
              <w:jc w:val="center"/>
              <w:rPr>
                <w:highlight w:val="none"/>
              </w:rPr>
            </w:pPr>
            <w:r>
              <w:rPr>
                <w:rFonts w:hint="eastAsia"/>
                <w:highlight w:val="none"/>
              </w:rPr>
              <w:t>招标范围</w:t>
            </w:r>
          </w:p>
        </w:tc>
        <w:tc>
          <w:tcPr>
            <w:tcW w:w="7151" w:type="dxa"/>
            <w:gridSpan w:val="2"/>
            <w:noWrap w:val="0"/>
            <w:vAlign w:val="center"/>
          </w:tcPr>
          <w:p w14:paraId="7BEBD523">
            <w:pPr>
              <w:shd w:val="clear"/>
              <w:spacing w:line="360" w:lineRule="auto"/>
              <w:rPr>
                <w:rFonts w:hint="default" w:eastAsia="宋体"/>
                <w:highlight w:val="none"/>
                <w:lang w:val="en-US" w:eastAsia="zh-CN"/>
              </w:rPr>
            </w:pPr>
            <w:r>
              <w:rPr>
                <w:rFonts w:hint="eastAsia"/>
                <w:highlight w:val="none"/>
                <w:lang w:val="en-US" w:eastAsia="zh-CN"/>
              </w:rPr>
              <w:t>见招标公告</w:t>
            </w:r>
          </w:p>
        </w:tc>
      </w:tr>
      <w:tr w14:paraId="1029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958" w:type="dxa"/>
            <w:noWrap w:val="0"/>
            <w:vAlign w:val="center"/>
          </w:tcPr>
          <w:p w14:paraId="018F205C">
            <w:pPr>
              <w:shd w:val="clear"/>
              <w:spacing w:line="240" w:lineRule="atLeast"/>
              <w:jc w:val="center"/>
              <w:rPr>
                <w:highlight w:val="none"/>
              </w:rPr>
            </w:pPr>
            <w:r>
              <w:rPr>
                <w:rFonts w:hint="eastAsia"/>
                <w:highlight w:val="none"/>
              </w:rPr>
              <w:t>1.3.3</w:t>
            </w:r>
          </w:p>
        </w:tc>
        <w:tc>
          <w:tcPr>
            <w:tcW w:w="1660" w:type="dxa"/>
            <w:noWrap w:val="0"/>
            <w:vAlign w:val="center"/>
          </w:tcPr>
          <w:p w14:paraId="5F7EBD40">
            <w:pPr>
              <w:shd w:val="clear"/>
              <w:spacing w:line="240" w:lineRule="atLeast"/>
              <w:jc w:val="center"/>
              <w:rPr>
                <w:highlight w:val="none"/>
              </w:rPr>
            </w:pPr>
            <w:r>
              <w:rPr>
                <w:rFonts w:hint="eastAsia"/>
                <w:highlight w:val="none"/>
              </w:rPr>
              <w:t>地点</w:t>
            </w:r>
          </w:p>
        </w:tc>
        <w:tc>
          <w:tcPr>
            <w:tcW w:w="7151" w:type="dxa"/>
            <w:gridSpan w:val="2"/>
            <w:noWrap w:val="0"/>
            <w:vAlign w:val="center"/>
          </w:tcPr>
          <w:p w14:paraId="1662891B">
            <w:pPr>
              <w:shd w:val="clear"/>
              <w:spacing w:line="340" w:lineRule="exact"/>
              <w:rPr>
                <w:b/>
                <w:highlight w:val="none"/>
              </w:rPr>
            </w:pPr>
            <w:r>
              <w:rPr>
                <w:rFonts w:hint="eastAsia"/>
                <w:highlight w:val="none"/>
              </w:rPr>
              <w:t>山东省济南市章丘区官庄街道青野村东</w:t>
            </w:r>
          </w:p>
        </w:tc>
      </w:tr>
      <w:tr w14:paraId="5F90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70AED93C">
            <w:pPr>
              <w:shd w:val="clear"/>
              <w:spacing w:line="240" w:lineRule="atLeast"/>
              <w:jc w:val="center"/>
              <w:rPr>
                <w:rFonts w:hint="eastAsia"/>
                <w:highlight w:val="none"/>
              </w:rPr>
            </w:pPr>
            <w:r>
              <w:rPr>
                <w:rFonts w:hint="eastAsia"/>
                <w:highlight w:val="none"/>
              </w:rPr>
              <w:t>1.3.4</w:t>
            </w:r>
          </w:p>
        </w:tc>
        <w:tc>
          <w:tcPr>
            <w:tcW w:w="1660" w:type="dxa"/>
            <w:noWrap w:val="0"/>
            <w:vAlign w:val="center"/>
          </w:tcPr>
          <w:p w14:paraId="2304127B">
            <w:pPr>
              <w:shd w:val="clear"/>
              <w:spacing w:line="240" w:lineRule="atLeast"/>
              <w:jc w:val="center"/>
              <w:rPr>
                <w:b/>
                <w:highlight w:val="none"/>
              </w:rPr>
            </w:pPr>
            <w:r>
              <w:rPr>
                <w:rFonts w:hint="eastAsia"/>
                <w:highlight w:val="none"/>
              </w:rPr>
              <w:t>质保期</w:t>
            </w:r>
          </w:p>
        </w:tc>
        <w:tc>
          <w:tcPr>
            <w:tcW w:w="7151" w:type="dxa"/>
            <w:gridSpan w:val="2"/>
            <w:noWrap w:val="0"/>
            <w:vAlign w:val="center"/>
          </w:tcPr>
          <w:p w14:paraId="5B2958A6">
            <w:pPr>
              <w:shd w:val="clear"/>
              <w:spacing w:line="340" w:lineRule="exact"/>
              <w:rPr>
                <w:b/>
                <w:highlight w:val="none"/>
              </w:rPr>
            </w:pPr>
            <w:r>
              <w:rPr>
                <w:rFonts w:hint="eastAsia"/>
                <w:highlight w:val="none"/>
              </w:rPr>
              <w:t>22kW及以上电机为九个月，22kW以下电机为六个月。</w:t>
            </w:r>
          </w:p>
        </w:tc>
      </w:tr>
      <w:tr w14:paraId="5330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8" w:type="dxa"/>
            <w:noWrap w:val="0"/>
            <w:vAlign w:val="center"/>
          </w:tcPr>
          <w:p w14:paraId="679807CC">
            <w:pPr>
              <w:shd w:val="clear"/>
              <w:jc w:val="center"/>
              <w:rPr>
                <w:highlight w:val="none"/>
              </w:rPr>
            </w:pPr>
            <w:r>
              <w:rPr>
                <w:rFonts w:hint="eastAsia"/>
                <w:highlight w:val="none"/>
              </w:rPr>
              <w:t>1.4.1</w:t>
            </w:r>
          </w:p>
        </w:tc>
        <w:tc>
          <w:tcPr>
            <w:tcW w:w="1660" w:type="dxa"/>
            <w:noWrap w:val="0"/>
            <w:vAlign w:val="center"/>
          </w:tcPr>
          <w:p w14:paraId="72E8BACE">
            <w:pPr>
              <w:shd w:val="clear"/>
              <w:spacing w:line="360" w:lineRule="exact"/>
              <w:jc w:val="center"/>
              <w:rPr>
                <w:highlight w:val="none"/>
              </w:rPr>
            </w:pPr>
            <w:r>
              <w:rPr>
                <w:rFonts w:hint="eastAsia"/>
                <w:highlight w:val="none"/>
              </w:rPr>
              <w:t xml:space="preserve">投标人的资格要求 </w:t>
            </w:r>
          </w:p>
        </w:tc>
        <w:tc>
          <w:tcPr>
            <w:tcW w:w="7151" w:type="dxa"/>
            <w:gridSpan w:val="2"/>
            <w:noWrap w:val="0"/>
            <w:vAlign w:val="center"/>
          </w:tcPr>
          <w:p w14:paraId="05CD51BE">
            <w:pPr>
              <w:shd w:val="clear"/>
              <w:spacing w:line="340" w:lineRule="exact"/>
              <w:rPr>
                <w:rFonts w:hint="default" w:eastAsia="宋体"/>
                <w:highlight w:val="none"/>
                <w:lang w:val="en-US" w:eastAsia="zh-CN"/>
              </w:rPr>
            </w:pPr>
            <w:r>
              <w:rPr>
                <w:rFonts w:hint="eastAsia"/>
                <w:highlight w:val="none"/>
                <w:lang w:val="en-US" w:eastAsia="zh-CN"/>
              </w:rPr>
              <w:t>见招标公告</w:t>
            </w:r>
          </w:p>
        </w:tc>
      </w:tr>
      <w:tr w14:paraId="787D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B2EB3ED">
            <w:pPr>
              <w:shd w:val="clear"/>
              <w:spacing w:line="240" w:lineRule="atLeast"/>
              <w:jc w:val="center"/>
              <w:rPr>
                <w:highlight w:val="none"/>
              </w:rPr>
            </w:pPr>
            <w:r>
              <w:rPr>
                <w:rFonts w:hint="eastAsia"/>
                <w:highlight w:val="none"/>
              </w:rPr>
              <w:t>1.4.2</w:t>
            </w:r>
          </w:p>
        </w:tc>
        <w:tc>
          <w:tcPr>
            <w:tcW w:w="1660" w:type="dxa"/>
            <w:noWrap w:val="0"/>
            <w:vAlign w:val="center"/>
          </w:tcPr>
          <w:p w14:paraId="779F6E9B">
            <w:pPr>
              <w:shd w:val="clear"/>
              <w:spacing w:line="240" w:lineRule="atLeast"/>
              <w:jc w:val="center"/>
              <w:rPr>
                <w:highlight w:val="none"/>
              </w:rPr>
            </w:pPr>
            <w:r>
              <w:rPr>
                <w:rFonts w:hint="eastAsia"/>
                <w:highlight w:val="none"/>
              </w:rPr>
              <w:t>是否接受联合体</w:t>
            </w:r>
          </w:p>
        </w:tc>
        <w:tc>
          <w:tcPr>
            <w:tcW w:w="7151" w:type="dxa"/>
            <w:gridSpan w:val="2"/>
            <w:noWrap w:val="0"/>
            <w:vAlign w:val="center"/>
          </w:tcPr>
          <w:p w14:paraId="65D01676">
            <w:pPr>
              <w:shd w:val="clear"/>
              <w:spacing w:line="340" w:lineRule="exact"/>
              <w:rPr>
                <w:highlight w:val="none"/>
              </w:rPr>
            </w:pPr>
            <w:r>
              <w:rPr>
                <w:rFonts w:hint="eastAsia"/>
                <w:highlight w:val="none"/>
              </w:rPr>
              <w:t>不接受</w:t>
            </w:r>
          </w:p>
        </w:tc>
      </w:tr>
      <w:tr w14:paraId="7BC0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495D4ED3">
            <w:pPr>
              <w:shd w:val="clear"/>
              <w:spacing w:line="240" w:lineRule="atLeast"/>
              <w:jc w:val="center"/>
              <w:rPr>
                <w:rFonts w:hint="eastAsia"/>
                <w:highlight w:val="none"/>
              </w:rPr>
            </w:pPr>
            <w:r>
              <w:rPr>
                <w:rFonts w:hint="eastAsia"/>
                <w:highlight w:val="none"/>
              </w:rPr>
              <w:t>1.9</w:t>
            </w:r>
          </w:p>
        </w:tc>
        <w:tc>
          <w:tcPr>
            <w:tcW w:w="1660" w:type="dxa"/>
            <w:noWrap w:val="0"/>
            <w:vAlign w:val="center"/>
          </w:tcPr>
          <w:p w14:paraId="03CA8715">
            <w:pPr>
              <w:shd w:val="clear"/>
              <w:spacing w:line="240" w:lineRule="atLeast"/>
              <w:jc w:val="center"/>
              <w:rPr>
                <w:highlight w:val="none"/>
              </w:rPr>
            </w:pPr>
            <w:r>
              <w:rPr>
                <w:rFonts w:hint="eastAsia"/>
                <w:highlight w:val="none"/>
              </w:rPr>
              <w:t>是否组织现场踏勘</w:t>
            </w:r>
          </w:p>
        </w:tc>
        <w:tc>
          <w:tcPr>
            <w:tcW w:w="7151" w:type="dxa"/>
            <w:gridSpan w:val="2"/>
            <w:noWrap w:val="0"/>
            <w:vAlign w:val="center"/>
          </w:tcPr>
          <w:p w14:paraId="34F9F049">
            <w:pPr>
              <w:shd w:val="clear"/>
              <w:spacing w:line="340" w:lineRule="exact"/>
              <w:rPr>
                <w:highlight w:val="none"/>
              </w:rPr>
            </w:pPr>
            <w:r>
              <w:rPr>
                <w:rFonts w:hint="eastAsia"/>
                <w:highlight w:val="none"/>
              </w:rPr>
              <w:t>不统一组织现场踏勘</w:t>
            </w:r>
          </w:p>
        </w:tc>
      </w:tr>
      <w:tr w14:paraId="6BE7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40F77C19">
            <w:pPr>
              <w:shd w:val="clear"/>
              <w:spacing w:line="240" w:lineRule="atLeast"/>
              <w:jc w:val="center"/>
              <w:rPr>
                <w:highlight w:val="none"/>
              </w:rPr>
            </w:pPr>
            <w:r>
              <w:rPr>
                <w:rFonts w:hint="eastAsia"/>
                <w:highlight w:val="none"/>
              </w:rPr>
              <w:t>1.10</w:t>
            </w:r>
          </w:p>
        </w:tc>
        <w:tc>
          <w:tcPr>
            <w:tcW w:w="1660" w:type="dxa"/>
            <w:noWrap w:val="0"/>
            <w:vAlign w:val="center"/>
          </w:tcPr>
          <w:p w14:paraId="14CA56FE">
            <w:pPr>
              <w:shd w:val="clear"/>
              <w:spacing w:line="240" w:lineRule="atLeast"/>
              <w:jc w:val="center"/>
              <w:rPr>
                <w:highlight w:val="none"/>
              </w:rPr>
            </w:pPr>
            <w:r>
              <w:rPr>
                <w:rFonts w:hint="eastAsia"/>
                <w:highlight w:val="none"/>
              </w:rPr>
              <w:t>招标预备会</w:t>
            </w:r>
          </w:p>
        </w:tc>
        <w:tc>
          <w:tcPr>
            <w:tcW w:w="7151" w:type="dxa"/>
            <w:gridSpan w:val="2"/>
            <w:noWrap w:val="0"/>
            <w:vAlign w:val="center"/>
          </w:tcPr>
          <w:p w14:paraId="3F7AD15B">
            <w:pPr>
              <w:shd w:val="clear"/>
              <w:spacing w:line="340" w:lineRule="exact"/>
              <w:rPr>
                <w:highlight w:val="none"/>
              </w:rPr>
            </w:pPr>
            <w:r>
              <w:rPr>
                <w:rFonts w:hint="eastAsia"/>
                <w:highlight w:val="none"/>
              </w:rPr>
              <w:t>不召开</w:t>
            </w:r>
          </w:p>
        </w:tc>
      </w:tr>
      <w:tr w14:paraId="77E1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8" w:type="dxa"/>
            <w:noWrap w:val="0"/>
            <w:vAlign w:val="center"/>
          </w:tcPr>
          <w:p w14:paraId="0AB0A925">
            <w:pPr>
              <w:shd w:val="clear"/>
              <w:jc w:val="center"/>
              <w:rPr>
                <w:highlight w:val="none"/>
              </w:rPr>
            </w:pPr>
            <w:r>
              <w:rPr>
                <w:rFonts w:hint="eastAsia"/>
                <w:highlight w:val="none"/>
              </w:rPr>
              <w:t>2.1.1</w:t>
            </w:r>
          </w:p>
        </w:tc>
        <w:tc>
          <w:tcPr>
            <w:tcW w:w="1660" w:type="dxa"/>
            <w:noWrap w:val="0"/>
            <w:vAlign w:val="center"/>
          </w:tcPr>
          <w:p w14:paraId="33A7DB56">
            <w:pPr>
              <w:shd w:val="clear"/>
              <w:spacing w:line="360" w:lineRule="exact"/>
              <w:jc w:val="center"/>
              <w:rPr>
                <w:rFonts w:hint="eastAsia"/>
                <w:highlight w:val="none"/>
              </w:rPr>
            </w:pPr>
            <w:r>
              <w:rPr>
                <w:rFonts w:hint="eastAsia"/>
                <w:highlight w:val="none"/>
              </w:rPr>
              <w:t>构成招标文件的其他材料</w:t>
            </w:r>
          </w:p>
        </w:tc>
        <w:tc>
          <w:tcPr>
            <w:tcW w:w="7151" w:type="dxa"/>
            <w:gridSpan w:val="2"/>
            <w:noWrap w:val="0"/>
            <w:vAlign w:val="center"/>
          </w:tcPr>
          <w:p w14:paraId="4AF540F0">
            <w:pPr>
              <w:shd w:val="clear"/>
              <w:spacing w:line="340" w:lineRule="exact"/>
              <w:rPr>
                <w:rFonts w:hint="eastAsia"/>
                <w:highlight w:val="none"/>
              </w:rPr>
            </w:pPr>
            <w:r>
              <w:rPr>
                <w:rFonts w:hint="eastAsia"/>
                <w:highlight w:val="none"/>
              </w:rPr>
              <w:t>招标文件澄清、答疑、补充文件等</w:t>
            </w:r>
          </w:p>
        </w:tc>
      </w:tr>
      <w:tr w14:paraId="763D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8" w:type="dxa"/>
            <w:noWrap w:val="0"/>
            <w:vAlign w:val="center"/>
          </w:tcPr>
          <w:p w14:paraId="4BADA5D2">
            <w:pPr>
              <w:shd w:val="clear"/>
              <w:jc w:val="center"/>
              <w:rPr>
                <w:rFonts w:hint="eastAsia"/>
                <w:highlight w:val="none"/>
              </w:rPr>
            </w:pPr>
            <w:r>
              <w:rPr>
                <w:rFonts w:hint="eastAsia"/>
                <w:highlight w:val="none"/>
              </w:rPr>
              <w:t>2.1.3</w:t>
            </w:r>
          </w:p>
        </w:tc>
        <w:tc>
          <w:tcPr>
            <w:tcW w:w="1660" w:type="dxa"/>
            <w:noWrap w:val="0"/>
            <w:vAlign w:val="center"/>
          </w:tcPr>
          <w:p w14:paraId="19EE579B">
            <w:pPr>
              <w:shd w:val="clear"/>
              <w:spacing w:line="360" w:lineRule="exact"/>
              <w:jc w:val="center"/>
              <w:rPr>
                <w:highlight w:val="none"/>
              </w:rPr>
            </w:pPr>
            <w:r>
              <w:rPr>
                <w:rFonts w:hint="eastAsia"/>
                <w:highlight w:val="none"/>
              </w:rPr>
              <w:t>招标文件的发布</w:t>
            </w:r>
          </w:p>
        </w:tc>
        <w:tc>
          <w:tcPr>
            <w:tcW w:w="7151" w:type="dxa"/>
            <w:gridSpan w:val="2"/>
            <w:noWrap w:val="0"/>
            <w:vAlign w:val="center"/>
          </w:tcPr>
          <w:p w14:paraId="3DFF3FF1">
            <w:pPr>
              <w:shd w:val="clear"/>
              <w:spacing w:line="340" w:lineRule="exact"/>
              <w:rPr>
                <w:highlight w:val="none"/>
              </w:rPr>
            </w:pPr>
            <w:r>
              <w:rPr>
                <w:rFonts w:hint="eastAsia"/>
                <w:highlight w:val="none"/>
              </w:rPr>
              <w:t>本招标文件在济钢集团有限公司阳光购销平台（网址：</w:t>
            </w:r>
            <w:r>
              <w:rPr>
                <w:rFonts w:hint="eastAsia"/>
                <w:highlight w:val="none"/>
              </w:rPr>
              <w:fldChar w:fldCharType="begin"/>
            </w:r>
            <w:r>
              <w:rPr>
                <w:rFonts w:hint="eastAsia"/>
                <w:highlight w:val="none"/>
              </w:rPr>
              <w:instrText xml:space="preserve"> HYPERLINK "http://bidding.jigang.com.cn" </w:instrText>
            </w:r>
            <w:r>
              <w:rPr>
                <w:rFonts w:hint="eastAsia"/>
                <w:highlight w:val="none"/>
              </w:rPr>
              <w:fldChar w:fldCharType="separate"/>
            </w:r>
            <w:r>
              <w:rPr>
                <w:rFonts w:hint="eastAsia"/>
                <w:highlight w:val="none"/>
              </w:rPr>
              <w:t>http://bidding.jigang.com.cn</w:t>
            </w:r>
            <w:r>
              <w:rPr>
                <w:rFonts w:hint="eastAsia"/>
                <w:highlight w:val="none"/>
              </w:rPr>
              <w:fldChar w:fldCharType="end"/>
            </w:r>
            <w:r>
              <w:rPr>
                <w:rFonts w:hint="eastAsia"/>
                <w:highlight w:val="none"/>
              </w:rPr>
              <w:t>/） 上发布。除上述媒介以外的媒介转载或发布与本次招标相关信息的，招标人不承担任何责任并保留追究相关方责任的权利。</w:t>
            </w:r>
          </w:p>
        </w:tc>
      </w:tr>
      <w:tr w14:paraId="35E2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337D1C5">
            <w:pPr>
              <w:shd w:val="clear"/>
              <w:jc w:val="center"/>
              <w:rPr>
                <w:rFonts w:hint="eastAsia"/>
                <w:highlight w:val="none"/>
              </w:rPr>
            </w:pPr>
            <w:r>
              <w:rPr>
                <w:rFonts w:hint="eastAsia"/>
                <w:highlight w:val="none"/>
              </w:rPr>
              <w:t>2.2.2</w:t>
            </w:r>
          </w:p>
        </w:tc>
        <w:tc>
          <w:tcPr>
            <w:tcW w:w="1660" w:type="dxa"/>
            <w:noWrap w:val="0"/>
            <w:vAlign w:val="center"/>
          </w:tcPr>
          <w:p w14:paraId="7BF8B8CF">
            <w:pPr>
              <w:shd w:val="clear"/>
              <w:spacing w:line="442" w:lineRule="exact"/>
              <w:jc w:val="center"/>
              <w:rPr>
                <w:rFonts w:hint="eastAsia"/>
                <w:highlight w:val="none"/>
              </w:rPr>
            </w:pPr>
            <w:r>
              <w:rPr>
                <w:rFonts w:hint="eastAsia"/>
                <w:highlight w:val="none"/>
              </w:rPr>
              <w:t>招标</w:t>
            </w:r>
            <w:r>
              <w:rPr>
                <w:highlight w:val="none"/>
              </w:rPr>
              <w:t>文件的</w:t>
            </w:r>
            <w:r>
              <w:rPr>
                <w:rFonts w:hint="eastAsia"/>
                <w:highlight w:val="none"/>
              </w:rPr>
              <w:t>澄清</w:t>
            </w:r>
          </w:p>
        </w:tc>
        <w:tc>
          <w:tcPr>
            <w:tcW w:w="7151" w:type="dxa"/>
            <w:gridSpan w:val="2"/>
            <w:tcBorders>
              <w:bottom w:val="single" w:color="auto" w:sz="4" w:space="0"/>
            </w:tcBorders>
            <w:noWrap w:val="0"/>
            <w:vAlign w:val="center"/>
          </w:tcPr>
          <w:p w14:paraId="6AEEB0F1">
            <w:pPr>
              <w:shd w:val="clear"/>
              <w:spacing w:line="398" w:lineRule="exact"/>
              <w:rPr>
                <w:rFonts w:hint="eastAsia"/>
                <w:highlight w:val="none"/>
              </w:rPr>
            </w:pPr>
            <w:r>
              <w:rPr>
                <w:rFonts w:hint="eastAsia"/>
                <w:highlight w:val="none"/>
              </w:rPr>
              <w:t>招标</w:t>
            </w:r>
            <w:r>
              <w:rPr>
                <w:highlight w:val="none"/>
              </w:rPr>
              <w:t>文件</w:t>
            </w:r>
            <w:r>
              <w:rPr>
                <w:rFonts w:hint="eastAsia"/>
                <w:highlight w:val="none"/>
              </w:rPr>
              <w:t>澄清的</w:t>
            </w:r>
            <w:r>
              <w:rPr>
                <w:highlight w:val="none"/>
              </w:rPr>
              <w:t>截止时间</w:t>
            </w:r>
            <w:r>
              <w:rPr>
                <w:rFonts w:hint="eastAsia"/>
                <w:highlight w:val="none"/>
              </w:rPr>
              <w:t>为</w:t>
            </w:r>
            <w:r>
              <w:rPr>
                <w:rFonts w:hint="eastAsia"/>
                <w:highlight w:val="none"/>
                <w:lang w:eastAsia="zh-CN"/>
              </w:rPr>
              <w:t>2026年</w:t>
            </w:r>
            <w:r>
              <w:rPr>
                <w:rFonts w:hint="eastAsia"/>
                <w:highlight w:val="none"/>
                <w:lang w:val="en-US" w:eastAsia="zh-CN"/>
              </w:rPr>
              <w:t>7</w:t>
            </w:r>
            <w:r>
              <w:rPr>
                <w:rFonts w:hint="eastAsia"/>
                <w:highlight w:val="none"/>
              </w:rPr>
              <w:t>月</w:t>
            </w:r>
            <w:r>
              <w:rPr>
                <w:rFonts w:hint="eastAsia"/>
                <w:highlight w:val="none"/>
                <w:lang w:val="en-US" w:eastAsia="zh-CN"/>
              </w:rPr>
              <w:t>16</w:t>
            </w:r>
            <w:r>
              <w:rPr>
                <w:rFonts w:hint="eastAsia"/>
                <w:highlight w:val="none"/>
              </w:rPr>
              <w:t>日，澄清文件在济钢集团有限公司阳光购销平台（网址：</w:t>
            </w:r>
            <w:r>
              <w:rPr>
                <w:rFonts w:hint="eastAsia"/>
                <w:highlight w:val="none"/>
              </w:rPr>
              <w:fldChar w:fldCharType="begin"/>
            </w:r>
            <w:r>
              <w:rPr>
                <w:rFonts w:hint="eastAsia"/>
                <w:highlight w:val="none"/>
              </w:rPr>
              <w:instrText xml:space="preserve"> HYPERLINK "http://bidding.jigang.com.cn" </w:instrText>
            </w:r>
            <w:r>
              <w:rPr>
                <w:rFonts w:hint="eastAsia"/>
                <w:highlight w:val="none"/>
              </w:rPr>
              <w:fldChar w:fldCharType="separate"/>
            </w:r>
            <w:r>
              <w:rPr>
                <w:rFonts w:hint="eastAsia"/>
                <w:highlight w:val="none"/>
              </w:rPr>
              <w:t>http://bidding.jigang.com.cn</w:t>
            </w:r>
            <w:r>
              <w:rPr>
                <w:rFonts w:hint="eastAsia"/>
                <w:highlight w:val="none"/>
              </w:rPr>
              <w:fldChar w:fldCharType="end"/>
            </w:r>
            <w:r>
              <w:rPr>
                <w:rFonts w:hint="eastAsia"/>
                <w:highlight w:val="none"/>
              </w:rPr>
              <w:t>/） 上发布。</w:t>
            </w:r>
          </w:p>
        </w:tc>
      </w:tr>
      <w:tr w14:paraId="5A24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54B1AA9">
            <w:pPr>
              <w:shd w:val="clear"/>
              <w:jc w:val="center"/>
              <w:rPr>
                <w:rFonts w:hint="eastAsia"/>
                <w:highlight w:val="none"/>
              </w:rPr>
            </w:pPr>
            <w:r>
              <w:rPr>
                <w:rFonts w:hint="eastAsia"/>
                <w:highlight w:val="none"/>
              </w:rPr>
              <w:t>2.3</w:t>
            </w:r>
          </w:p>
        </w:tc>
        <w:tc>
          <w:tcPr>
            <w:tcW w:w="1660" w:type="dxa"/>
            <w:noWrap w:val="0"/>
            <w:vAlign w:val="center"/>
          </w:tcPr>
          <w:p w14:paraId="4AB1D1DE">
            <w:pPr>
              <w:shd w:val="clear"/>
              <w:spacing w:line="360" w:lineRule="exact"/>
              <w:jc w:val="center"/>
              <w:rPr>
                <w:rFonts w:hint="eastAsia"/>
                <w:highlight w:val="none"/>
              </w:rPr>
            </w:pPr>
            <w:r>
              <w:rPr>
                <w:rFonts w:hint="eastAsia"/>
                <w:highlight w:val="none"/>
              </w:rPr>
              <w:t>招标</w:t>
            </w:r>
            <w:r>
              <w:rPr>
                <w:highlight w:val="none"/>
              </w:rPr>
              <w:t>文件</w:t>
            </w:r>
            <w:r>
              <w:rPr>
                <w:rFonts w:hint="eastAsia"/>
                <w:highlight w:val="none"/>
              </w:rPr>
              <w:t>的</w:t>
            </w:r>
            <w:r>
              <w:rPr>
                <w:highlight w:val="none"/>
              </w:rPr>
              <w:t>修改</w:t>
            </w:r>
          </w:p>
        </w:tc>
        <w:tc>
          <w:tcPr>
            <w:tcW w:w="7151" w:type="dxa"/>
            <w:gridSpan w:val="2"/>
            <w:tcBorders>
              <w:bottom w:val="single" w:color="auto" w:sz="4" w:space="0"/>
            </w:tcBorders>
            <w:noWrap w:val="0"/>
            <w:vAlign w:val="center"/>
          </w:tcPr>
          <w:p w14:paraId="0C21657A">
            <w:pPr>
              <w:shd w:val="clear"/>
              <w:spacing w:line="398" w:lineRule="exact"/>
              <w:rPr>
                <w:rFonts w:hint="eastAsia"/>
                <w:highlight w:val="none"/>
              </w:rPr>
            </w:pPr>
            <w:r>
              <w:rPr>
                <w:rFonts w:hint="eastAsia"/>
                <w:highlight w:val="none"/>
              </w:rPr>
              <w:t>招标文件修改的截止时间为</w:t>
            </w:r>
            <w:r>
              <w:rPr>
                <w:rFonts w:hint="eastAsia"/>
                <w:highlight w:val="none"/>
                <w:lang w:eastAsia="zh-CN"/>
              </w:rPr>
              <w:t>2026年</w:t>
            </w:r>
            <w:r>
              <w:rPr>
                <w:rFonts w:hint="eastAsia"/>
                <w:highlight w:val="none"/>
                <w:lang w:val="en-US" w:eastAsia="zh-CN"/>
              </w:rPr>
              <w:t>7</w:t>
            </w:r>
            <w:r>
              <w:rPr>
                <w:rFonts w:hint="eastAsia"/>
                <w:highlight w:val="none"/>
              </w:rPr>
              <w:t>月</w:t>
            </w:r>
            <w:r>
              <w:rPr>
                <w:rFonts w:hint="eastAsia"/>
                <w:highlight w:val="none"/>
                <w:lang w:val="en-US" w:eastAsia="zh-CN"/>
              </w:rPr>
              <w:t>16</w:t>
            </w:r>
            <w:r>
              <w:rPr>
                <w:rFonts w:hint="eastAsia"/>
                <w:highlight w:val="none"/>
              </w:rPr>
              <w:t>日，修改文件在济钢集团有限公司阳光购销平台（网址：</w:t>
            </w:r>
            <w:r>
              <w:rPr>
                <w:rFonts w:hint="eastAsia"/>
                <w:highlight w:val="none"/>
              </w:rPr>
              <w:fldChar w:fldCharType="begin"/>
            </w:r>
            <w:r>
              <w:rPr>
                <w:rFonts w:hint="eastAsia"/>
                <w:highlight w:val="none"/>
              </w:rPr>
              <w:instrText xml:space="preserve"> HYPERLINK "http://bidding.jigang.com.cn" </w:instrText>
            </w:r>
            <w:r>
              <w:rPr>
                <w:rFonts w:hint="eastAsia"/>
                <w:highlight w:val="none"/>
              </w:rPr>
              <w:fldChar w:fldCharType="separate"/>
            </w:r>
            <w:r>
              <w:rPr>
                <w:rFonts w:hint="eastAsia"/>
                <w:highlight w:val="none"/>
              </w:rPr>
              <w:t>http://bidding.jigang.com.cn</w:t>
            </w:r>
            <w:r>
              <w:rPr>
                <w:rFonts w:hint="eastAsia"/>
                <w:highlight w:val="none"/>
              </w:rPr>
              <w:fldChar w:fldCharType="end"/>
            </w:r>
            <w:r>
              <w:rPr>
                <w:rFonts w:hint="eastAsia"/>
                <w:highlight w:val="none"/>
              </w:rPr>
              <w:t>/） 上发布。</w:t>
            </w:r>
          </w:p>
        </w:tc>
      </w:tr>
      <w:tr w14:paraId="4B20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3F33E4E3">
            <w:pPr>
              <w:shd w:val="clear"/>
              <w:jc w:val="center"/>
              <w:rPr>
                <w:highlight w:val="none"/>
              </w:rPr>
            </w:pPr>
            <w:r>
              <w:rPr>
                <w:rFonts w:hint="eastAsia"/>
                <w:highlight w:val="none"/>
              </w:rPr>
              <w:t>3.1.1</w:t>
            </w:r>
          </w:p>
        </w:tc>
        <w:tc>
          <w:tcPr>
            <w:tcW w:w="1660" w:type="dxa"/>
            <w:noWrap w:val="0"/>
            <w:vAlign w:val="center"/>
          </w:tcPr>
          <w:p w14:paraId="4B9AA588">
            <w:pPr>
              <w:shd w:val="clear"/>
              <w:spacing w:line="360" w:lineRule="exact"/>
              <w:jc w:val="center"/>
              <w:rPr>
                <w:highlight w:val="none"/>
              </w:rPr>
            </w:pPr>
            <w:r>
              <w:rPr>
                <w:rFonts w:hint="eastAsia"/>
                <w:highlight w:val="none"/>
              </w:rPr>
              <w:t>投标文件内容</w:t>
            </w:r>
          </w:p>
        </w:tc>
        <w:tc>
          <w:tcPr>
            <w:tcW w:w="7151" w:type="dxa"/>
            <w:gridSpan w:val="2"/>
            <w:tcBorders>
              <w:bottom w:val="single" w:color="auto" w:sz="4" w:space="0"/>
            </w:tcBorders>
            <w:noWrap w:val="0"/>
            <w:vAlign w:val="center"/>
          </w:tcPr>
          <w:p w14:paraId="58BB24EE">
            <w:pPr>
              <w:shd w:val="clear"/>
              <w:spacing w:line="340" w:lineRule="exact"/>
              <w:rPr>
                <w:highlight w:val="none"/>
              </w:rPr>
            </w:pPr>
            <w:r>
              <w:rPr>
                <w:rFonts w:hint="eastAsia"/>
                <w:highlight w:val="none"/>
              </w:rPr>
              <w:t>招标文件商务、技术部分内容</w:t>
            </w:r>
          </w:p>
        </w:tc>
      </w:tr>
      <w:tr w14:paraId="4931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noWrap w:val="0"/>
            <w:vAlign w:val="center"/>
          </w:tcPr>
          <w:p w14:paraId="3196C54D">
            <w:pPr>
              <w:shd w:val="clear"/>
              <w:jc w:val="center"/>
              <w:rPr>
                <w:highlight w:val="none"/>
              </w:rPr>
            </w:pPr>
            <w:r>
              <w:rPr>
                <w:rFonts w:hint="eastAsia"/>
                <w:highlight w:val="none"/>
              </w:rPr>
              <w:t>3.2.1</w:t>
            </w:r>
          </w:p>
        </w:tc>
        <w:tc>
          <w:tcPr>
            <w:tcW w:w="1660" w:type="dxa"/>
            <w:shd w:val="clear" w:color="auto" w:fill="auto"/>
            <w:noWrap w:val="0"/>
            <w:vAlign w:val="center"/>
          </w:tcPr>
          <w:p w14:paraId="3AF9DF5D">
            <w:pPr>
              <w:shd w:val="clear"/>
              <w:spacing w:line="360" w:lineRule="exact"/>
              <w:jc w:val="center"/>
              <w:rPr>
                <w:highlight w:val="none"/>
              </w:rPr>
            </w:pPr>
            <w:r>
              <w:rPr>
                <w:rFonts w:hint="eastAsia"/>
                <w:highlight w:val="none"/>
              </w:rPr>
              <w:t>投标报价</w:t>
            </w:r>
          </w:p>
        </w:tc>
        <w:tc>
          <w:tcPr>
            <w:tcW w:w="7151" w:type="dxa"/>
            <w:gridSpan w:val="2"/>
            <w:shd w:val="clear" w:color="auto" w:fill="FFFFFF"/>
            <w:noWrap w:val="0"/>
            <w:vAlign w:val="center"/>
          </w:tcPr>
          <w:p w14:paraId="0A0B1A6C">
            <w:pPr>
              <w:shd w:val="clear"/>
              <w:spacing w:line="340" w:lineRule="exact"/>
              <w:rPr>
                <w:highlight w:val="none"/>
              </w:rPr>
            </w:pPr>
            <w:r>
              <w:rPr>
                <w:rFonts w:hint="eastAsia"/>
                <w:highlight w:val="none"/>
              </w:rPr>
              <w:t>1.报价方式：</w:t>
            </w:r>
            <w:r>
              <w:rPr>
                <w:rFonts w:hint="eastAsia"/>
                <w:highlight w:val="none"/>
                <w:lang w:val="en-US" w:eastAsia="zh-CN"/>
              </w:rPr>
              <w:t>分项报价、</w:t>
            </w:r>
            <w:r>
              <w:rPr>
                <w:rFonts w:hint="eastAsia"/>
                <w:highlight w:val="none"/>
              </w:rPr>
              <w:t xml:space="preserve">投标总价。 </w:t>
            </w:r>
          </w:p>
          <w:p w14:paraId="49255553">
            <w:pPr>
              <w:shd w:val="clear"/>
              <w:spacing w:line="340" w:lineRule="exact"/>
              <w:rPr>
                <w:highlight w:val="none"/>
              </w:rPr>
            </w:pPr>
            <w:r>
              <w:rPr>
                <w:rFonts w:hint="eastAsia"/>
                <w:highlight w:val="none"/>
              </w:rPr>
              <w:t>2.报价币种：人民币。</w:t>
            </w:r>
          </w:p>
          <w:p w14:paraId="1A620827">
            <w:pPr>
              <w:shd w:val="clear"/>
              <w:spacing w:line="340" w:lineRule="exact"/>
              <w:rPr>
                <w:rFonts w:hint="eastAsia" w:eastAsia="宋体"/>
                <w:highlight w:val="none"/>
                <w:lang w:eastAsia="zh-CN"/>
              </w:rPr>
            </w:pPr>
            <w:r>
              <w:rPr>
                <w:rFonts w:hint="eastAsia"/>
                <w:highlight w:val="none"/>
              </w:rPr>
              <w:t>3.报价为</w:t>
            </w:r>
            <w:r>
              <w:rPr>
                <w:rFonts w:hint="eastAsia"/>
                <w:highlight w:val="none"/>
                <w:lang w:val="en-US" w:eastAsia="zh-CN"/>
              </w:rPr>
              <w:t>含税</w:t>
            </w:r>
            <w:r>
              <w:rPr>
                <w:rFonts w:hint="eastAsia"/>
                <w:highlight w:val="none"/>
              </w:rPr>
              <w:t>价格</w:t>
            </w:r>
            <w:r>
              <w:rPr>
                <w:rFonts w:hint="eastAsia"/>
                <w:highlight w:val="none"/>
                <w:lang w:eastAsia="zh-CN"/>
              </w:rPr>
              <w:t>。</w:t>
            </w:r>
          </w:p>
        </w:tc>
      </w:tr>
      <w:tr w14:paraId="3364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D6FEAAA">
            <w:pPr>
              <w:shd w:val="clear"/>
              <w:jc w:val="center"/>
              <w:rPr>
                <w:highlight w:val="none"/>
              </w:rPr>
            </w:pPr>
            <w:r>
              <w:rPr>
                <w:rFonts w:hint="eastAsia"/>
                <w:highlight w:val="none"/>
              </w:rPr>
              <w:t>3.2.2</w:t>
            </w:r>
          </w:p>
        </w:tc>
        <w:tc>
          <w:tcPr>
            <w:tcW w:w="1660" w:type="dxa"/>
            <w:noWrap w:val="0"/>
            <w:vAlign w:val="center"/>
          </w:tcPr>
          <w:p w14:paraId="1C001F0C">
            <w:pPr>
              <w:shd w:val="clear"/>
              <w:spacing w:line="360" w:lineRule="exact"/>
              <w:jc w:val="center"/>
              <w:rPr>
                <w:rFonts w:hint="eastAsia"/>
                <w:highlight w:val="none"/>
              </w:rPr>
            </w:pPr>
            <w:r>
              <w:rPr>
                <w:rFonts w:hint="eastAsia"/>
                <w:highlight w:val="none"/>
              </w:rPr>
              <w:t>投标报价修改</w:t>
            </w:r>
          </w:p>
        </w:tc>
        <w:tc>
          <w:tcPr>
            <w:tcW w:w="7151" w:type="dxa"/>
            <w:gridSpan w:val="2"/>
            <w:noWrap w:val="0"/>
            <w:vAlign w:val="center"/>
          </w:tcPr>
          <w:p w14:paraId="5F0746CE">
            <w:pPr>
              <w:shd w:val="clear"/>
              <w:spacing w:line="340" w:lineRule="exact"/>
              <w:rPr>
                <w:rFonts w:hint="eastAsia"/>
                <w:highlight w:val="none"/>
              </w:rPr>
            </w:pPr>
            <w:r>
              <w:rPr>
                <w:rFonts w:hint="eastAsia"/>
                <w:highlight w:val="none"/>
              </w:rPr>
              <w:t>详见招标须知正文3.2.2节内容</w:t>
            </w:r>
          </w:p>
        </w:tc>
      </w:tr>
      <w:tr w14:paraId="5E9E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B281B59">
            <w:pPr>
              <w:shd w:val="clear"/>
              <w:jc w:val="center"/>
              <w:rPr>
                <w:highlight w:val="none"/>
              </w:rPr>
            </w:pPr>
            <w:r>
              <w:rPr>
                <w:rFonts w:hint="eastAsia"/>
                <w:highlight w:val="none"/>
              </w:rPr>
              <w:t>3.3.1</w:t>
            </w:r>
          </w:p>
        </w:tc>
        <w:tc>
          <w:tcPr>
            <w:tcW w:w="1660" w:type="dxa"/>
            <w:noWrap w:val="0"/>
            <w:vAlign w:val="center"/>
          </w:tcPr>
          <w:p w14:paraId="23C39393">
            <w:pPr>
              <w:shd w:val="clear"/>
              <w:spacing w:line="360" w:lineRule="exact"/>
              <w:jc w:val="center"/>
              <w:rPr>
                <w:highlight w:val="none"/>
              </w:rPr>
            </w:pPr>
            <w:r>
              <w:rPr>
                <w:rFonts w:hint="eastAsia"/>
                <w:highlight w:val="none"/>
              </w:rPr>
              <w:t>招标有效期</w:t>
            </w:r>
          </w:p>
        </w:tc>
        <w:tc>
          <w:tcPr>
            <w:tcW w:w="7151" w:type="dxa"/>
            <w:gridSpan w:val="2"/>
            <w:noWrap w:val="0"/>
            <w:vAlign w:val="center"/>
          </w:tcPr>
          <w:p w14:paraId="459FF37E">
            <w:pPr>
              <w:shd w:val="clear"/>
              <w:spacing w:line="340" w:lineRule="exact"/>
              <w:rPr>
                <w:highlight w:val="none"/>
              </w:rPr>
            </w:pPr>
            <w:r>
              <w:rPr>
                <w:rFonts w:hint="eastAsia"/>
                <w:highlight w:val="none"/>
              </w:rPr>
              <w:t>90日历天（自</w:t>
            </w:r>
            <w:r>
              <w:rPr>
                <w:highlight w:val="none"/>
              </w:rPr>
              <w:t>递交</w:t>
            </w:r>
            <w:r>
              <w:rPr>
                <w:rFonts w:hint="eastAsia"/>
                <w:highlight w:val="none"/>
              </w:rPr>
              <w:t>投标</w:t>
            </w:r>
            <w:r>
              <w:rPr>
                <w:highlight w:val="none"/>
              </w:rPr>
              <w:t>文件截止</w:t>
            </w:r>
            <w:r>
              <w:rPr>
                <w:rFonts w:hint="eastAsia"/>
                <w:highlight w:val="none"/>
              </w:rPr>
              <w:t>之日起）</w:t>
            </w:r>
          </w:p>
        </w:tc>
      </w:tr>
      <w:tr w14:paraId="0455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07B02200">
            <w:pPr>
              <w:shd w:val="clear"/>
              <w:jc w:val="center"/>
              <w:rPr>
                <w:color w:val="000000"/>
                <w:highlight w:val="none"/>
              </w:rPr>
            </w:pPr>
            <w:r>
              <w:rPr>
                <w:rFonts w:hint="eastAsia"/>
                <w:color w:val="000000"/>
                <w:highlight w:val="none"/>
              </w:rPr>
              <w:t>3.4</w:t>
            </w:r>
          </w:p>
        </w:tc>
        <w:tc>
          <w:tcPr>
            <w:tcW w:w="1660" w:type="dxa"/>
            <w:noWrap w:val="0"/>
            <w:vAlign w:val="center"/>
          </w:tcPr>
          <w:p w14:paraId="6DE43A8A">
            <w:pPr>
              <w:shd w:val="clear"/>
              <w:spacing w:line="360" w:lineRule="exact"/>
              <w:jc w:val="center"/>
              <w:rPr>
                <w:color w:val="000000"/>
                <w:highlight w:val="none"/>
              </w:rPr>
            </w:pPr>
            <w:r>
              <w:rPr>
                <w:rFonts w:hint="eastAsia"/>
                <w:color w:val="000000"/>
                <w:highlight w:val="none"/>
              </w:rPr>
              <w:t>投标保证金</w:t>
            </w:r>
          </w:p>
        </w:tc>
        <w:tc>
          <w:tcPr>
            <w:tcW w:w="7151" w:type="dxa"/>
            <w:gridSpan w:val="2"/>
            <w:noWrap w:val="0"/>
            <w:vAlign w:val="center"/>
          </w:tcPr>
          <w:p w14:paraId="288896CA">
            <w:pPr>
              <w:shd w:val="clear"/>
              <w:spacing w:line="340" w:lineRule="exact"/>
              <w:rPr>
                <w:rFonts w:hint="default" w:eastAsia="宋体"/>
                <w:highlight w:val="none"/>
                <w:lang w:val="en-US" w:eastAsia="zh-CN"/>
              </w:rPr>
            </w:pPr>
            <w:r>
              <w:rPr>
                <w:rFonts w:hint="eastAsia"/>
                <w:highlight w:val="none"/>
                <w:lang w:val="en-US" w:eastAsia="zh-CN"/>
              </w:rPr>
              <w:t>无</w:t>
            </w:r>
          </w:p>
        </w:tc>
      </w:tr>
      <w:tr w14:paraId="7A0B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45D2886">
            <w:pPr>
              <w:shd w:val="clear"/>
              <w:jc w:val="center"/>
              <w:rPr>
                <w:highlight w:val="none"/>
              </w:rPr>
            </w:pPr>
            <w:r>
              <w:rPr>
                <w:rFonts w:hint="eastAsia"/>
                <w:highlight w:val="none"/>
              </w:rPr>
              <w:t>3.5.1</w:t>
            </w:r>
          </w:p>
        </w:tc>
        <w:tc>
          <w:tcPr>
            <w:tcW w:w="1660" w:type="dxa"/>
            <w:noWrap w:val="0"/>
            <w:vAlign w:val="center"/>
          </w:tcPr>
          <w:p w14:paraId="6089115C">
            <w:pPr>
              <w:shd w:val="clear"/>
              <w:spacing w:line="360" w:lineRule="exact"/>
              <w:ind w:left="-120" w:leftChars="-50" w:right="-120" w:rightChars="-50"/>
              <w:jc w:val="center"/>
              <w:rPr>
                <w:highlight w:val="none"/>
              </w:rPr>
            </w:pPr>
            <w:r>
              <w:rPr>
                <w:rFonts w:hint="eastAsia"/>
                <w:highlight w:val="none"/>
              </w:rPr>
              <w:t>资格审查</w:t>
            </w:r>
          </w:p>
        </w:tc>
        <w:tc>
          <w:tcPr>
            <w:tcW w:w="7151" w:type="dxa"/>
            <w:gridSpan w:val="2"/>
            <w:noWrap w:val="0"/>
            <w:vAlign w:val="center"/>
          </w:tcPr>
          <w:p w14:paraId="6CD49ADD">
            <w:pPr>
              <w:shd w:val="clear"/>
              <w:spacing w:line="340" w:lineRule="exact"/>
              <w:jc w:val="left"/>
              <w:rPr>
                <w:highlight w:val="none"/>
              </w:rPr>
            </w:pPr>
            <w:r>
              <w:rPr>
                <w:highlight w:val="none"/>
              </w:rPr>
              <w:t>1、</w:t>
            </w:r>
            <w:r>
              <w:rPr>
                <w:rFonts w:hint="eastAsia"/>
                <w:highlight w:val="none"/>
                <w:lang w:val="en-US" w:eastAsia="zh-CN"/>
              </w:rPr>
              <w:t>评标委员会对投标人的资格审查文件（电子版）进行评审。评审合格的进入下一阶段评标</w:t>
            </w:r>
            <w:r>
              <w:rPr>
                <w:highlight w:val="none"/>
              </w:rPr>
              <w:t>；</w:t>
            </w:r>
            <w:r>
              <w:rPr>
                <w:rFonts w:hint="eastAsia"/>
                <w:highlight w:val="none"/>
              </w:rPr>
              <w:t>评标</w:t>
            </w:r>
            <w:r>
              <w:rPr>
                <w:highlight w:val="none"/>
              </w:rPr>
              <w:t>不合格的</w:t>
            </w:r>
            <w:r>
              <w:rPr>
                <w:rFonts w:hint="eastAsia"/>
                <w:highlight w:val="none"/>
              </w:rPr>
              <w:t>取消其招标资格</w:t>
            </w:r>
            <w:r>
              <w:rPr>
                <w:highlight w:val="none"/>
              </w:rPr>
              <w:t>，</w:t>
            </w:r>
            <w:r>
              <w:rPr>
                <w:rFonts w:hint="eastAsia"/>
                <w:highlight w:val="none"/>
              </w:rPr>
              <w:t>购买招标文件的费用</w:t>
            </w:r>
            <w:r>
              <w:rPr>
                <w:highlight w:val="none"/>
              </w:rPr>
              <w:t>不退。</w:t>
            </w:r>
          </w:p>
          <w:p w14:paraId="6447E50A">
            <w:pPr>
              <w:shd w:val="clear"/>
              <w:spacing w:line="340" w:lineRule="exact"/>
              <w:ind w:left="-120" w:leftChars="-50" w:right="-120" w:rightChars="-50"/>
              <w:jc w:val="left"/>
              <w:rPr>
                <w:highlight w:val="none"/>
              </w:rPr>
            </w:pPr>
            <w:r>
              <w:rPr>
                <w:highlight w:val="none"/>
              </w:rPr>
              <w:t>2、</w:t>
            </w:r>
            <w:r>
              <w:rPr>
                <w:rFonts w:hint="eastAsia"/>
                <w:highlight w:val="none"/>
                <w:lang w:val="en-US" w:eastAsia="zh-CN"/>
              </w:rPr>
              <w:t>制作资格审查文件（电子版）后，在</w:t>
            </w:r>
            <w:r>
              <w:rPr>
                <w:rFonts w:hint="eastAsia"/>
                <w:highlight w:val="none"/>
                <w:lang w:eastAsia="zh-CN"/>
              </w:rPr>
              <w:t>2026年</w:t>
            </w:r>
            <w:r>
              <w:rPr>
                <w:rFonts w:hint="eastAsia"/>
                <w:highlight w:val="none"/>
                <w:lang w:val="en-US" w:eastAsia="zh-CN"/>
              </w:rPr>
              <w:t>7</w:t>
            </w:r>
            <w:r>
              <w:rPr>
                <w:rFonts w:hint="eastAsia"/>
                <w:highlight w:val="none"/>
              </w:rPr>
              <w:t>月</w:t>
            </w:r>
            <w:r>
              <w:rPr>
                <w:rFonts w:hint="eastAsia"/>
                <w:highlight w:val="none"/>
                <w:lang w:val="en-US" w:eastAsia="zh-CN"/>
              </w:rPr>
              <w:t>21</w:t>
            </w:r>
            <w:r>
              <w:rPr>
                <w:rFonts w:hint="eastAsia"/>
                <w:highlight w:val="none"/>
              </w:rPr>
              <w:t>日上午9点</w:t>
            </w:r>
            <w:r>
              <w:rPr>
                <w:rFonts w:hint="eastAsia"/>
                <w:highlight w:val="none"/>
                <w:lang w:val="en-US" w:eastAsia="zh-CN"/>
              </w:rPr>
              <w:t>前</w:t>
            </w:r>
            <w:r>
              <w:rPr>
                <w:rFonts w:hint="eastAsia"/>
                <w:highlight w:val="none"/>
                <w:lang w:eastAsia="zh-CN"/>
              </w:rPr>
              <w:t>，</w:t>
            </w:r>
            <w:r>
              <w:rPr>
                <w:rFonts w:hint="eastAsia"/>
                <w:highlight w:val="none"/>
                <w:lang w:val="en-US" w:eastAsia="zh-CN"/>
              </w:rPr>
              <w:t>上传报名网站</w:t>
            </w:r>
          </w:p>
        </w:tc>
      </w:tr>
      <w:tr w14:paraId="54E5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EFD03CA">
            <w:pPr>
              <w:shd w:val="clear"/>
              <w:jc w:val="center"/>
              <w:rPr>
                <w:rFonts w:hint="eastAsia"/>
                <w:highlight w:val="none"/>
              </w:rPr>
            </w:pPr>
            <w:r>
              <w:rPr>
                <w:rFonts w:hint="eastAsia"/>
                <w:highlight w:val="none"/>
              </w:rPr>
              <w:t>3.5.2</w:t>
            </w:r>
          </w:p>
        </w:tc>
        <w:tc>
          <w:tcPr>
            <w:tcW w:w="1660" w:type="dxa"/>
            <w:noWrap w:val="0"/>
            <w:vAlign w:val="center"/>
          </w:tcPr>
          <w:p w14:paraId="32629692">
            <w:pPr>
              <w:shd w:val="clear"/>
              <w:spacing w:line="360" w:lineRule="exact"/>
              <w:jc w:val="center"/>
              <w:rPr>
                <w:highlight w:val="none"/>
              </w:rPr>
            </w:pPr>
            <w:r>
              <w:rPr>
                <w:rFonts w:hint="eastAsia"/>
                <w:highlight w:val="none"/>
              </w:rPr>
              <w:t>近3年财务审计报告</w:t>
            </w:r>
          </w:p>
        </w:tc>
        <w:tc>
          <w:tcPr>
            <w:tcW w:w="7151" w:type="dxa"/>
            <w:gridSpan w:val="2"/>
            <w:noWrap w:val="0"/>
            <w:vAlign w:val="center"/>
          </w:tcPr>
          <w:p w14:paraId="330B62E8">
            <w:pPr>
              <w:shd w:val="clear"/>
              <w:spacing w:line="340" w:lineRule="exact"/>
              <w:rPr>
                <w:highlight w:val="none"/>
              </w:rPr>
            </w:pPr>
            <w:r>
              <w:rPr>
                <w:rFonts w:hint="eastAsia"/>
                <w:highlight w:val="none"/>
              </w:rPr>
              <w:t>20</w:t>
            </w:r>
            <w:r>
              <w:rPr>
                <w:rFonts w:hint="eastAsia"/>
                <w:highlight w:val="none"/>
                <w:lang w:val="en-US" w:eastAsia="zh-CN"/>
              </w:rPr>
              <w:t>23</w:t>
            </w:r>
            <w:r>
              <w:rPr>
                <w:rFonts w:hint="eastAsia"/>
                <w:highlight w:val="none"/>
              </w:rPr>
              <w:t>年</w:t>
            </w:r>
            <w:r>
              <w:rPr>
                <w:rFonts w:hint="eastAsia"/>
                <w:highlight w:val="none"/>
                <w:lang w:val="en-US" w:eastAsia="zh-CN"/>
              </w:rPr>
              <w:t>7</w:t>
            </w:r>
            <w:r>
              <w:rPr>
                <w:rFonts w:hint="eastAsia"/>
                <w:highlight w:val="none"/>
              </w:rPr>
              <w:t>月01日至今。</w:t>
            </w:r>
          </w:p>
        </w:tc>
      </w:tr>
      <w:tr w14:paraId="4589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FD1515A">
            <w:pPr>
              <w:shd w:val="clear"/>
              <w:jc w:val="center"/>
              <w:rPr>
                <w:rFonts w:hint="eastAsia"/>
                <w:highlight w:val="none"/>
              </w:rPr>
            </w:pPr>
            <w:r>
              <w:rPr>
                <w:rFonts w:hint="eastAsia"/>
                <w:highlight w:val="none"/>
              </w:rPr>
              <w:t>3.5.3</w:t>
            </w:r>
          </w:p>
        </w:tc>
        <w:tc>
          <w:tcPr>
            <w:tcW w:w="1660" w:type="dxa"/>
            <w:noWrap w:val="0"/>
            <w:vAlign w:val="center"/>
          </w:tcPr>
          <w:p w14:paraId="55AA4D89">
            <w:pPr>
              <w:shd w:val="clear"/>
              <w:spacing w:line="360" w:lineRule="exact"/>
              <w:jc w:val="center"/>
              <w:rPr>
                <w:highlight w:val="none"/>
              </w:rPr>
            </w:pPr>
            <w:r>
              <w:rPr>
                <w:rFonts w:hint="eastAsia"/>
                <w:highlight w:val="none"/>
              </w:rPr>
              <w:t>近3年完成的类似项目</w:t>
            </w:r>
          </w:p>
        </w:tc>
        <w:tc>
          <w:tcPr>
            <w:tcW w:w="7151" w:type="dxa"/>
            <w:gridSpan w:val="2"/>
            <w:noWrap w:val="0"/>
            <w:vAlign w:val="center"/>
          </w:tcPr>
          <w:p w14:paraId="23F5494C">
            <w:pPr>
              <w:shd w:val="clear"/>
              <w:spacing w:line="340" w:lineRule="exact"/>
              <w:rPr>
                <w:highlight w:val="none"/>
              </w:rPr>
            </w:pPr>
            <w:r>
              <w:rPr>
                <w:rFonts w:hint="eastAsia"/>
                <w:highlight w:val="none"/>
              </w:rPr>
              <w:t>20</w:t>
            </w:r>
            <w:r>
              <w:rPr>
                <w:rFonts w:hint="eastAsia"/>
                <w:highlight w:val="none"/>
                <w:lang w:val="en-US" w:eastAsia="zh-CN"/>
              </w:rPr>
              <w:t>23</w:t>
            </w:r>
            <w:r>
              <w:rPr>
                <w:rFonts w:hint="eastAsia"/>
                <w:highlight w:val="none"/>
              </w:rPr>
              <w:t>年</w:t>
            </w:r>
            <w:r>
              <w:rPr>
                <w:rFonts w:hint="eastAsia"/>
                <w:highlight w:val="none"/>
                <w:lang w:val="en-US" w:eastAsia="zh-CN"/>
              </w:rPr>
              <w:t>7</w:t>
            </w:r>
            <w:r>
              <w:rPr>
                <w:rFonts w:hint="eastAsia"/>
                <w:highlight w:val="none"/>
              </w:rPr>
              <w:t>月01日至今。</w:t>
            </w:r>
          </w:p>
        </w:tc>
      </w:tr>
      <w:tr w14:paraId="3AB2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80D5FB0">
            <w:pPr>
              <w:shd w:val="clear"/>
              <w:jc w:val="center"/>
              <w:rPr>
                <w:rFonts w:hint="eastAsia"/>
                <w:highlight w:val="none"/>
              </w:rPr>
            </w:pPr>
            <w:r>
              <w:rPr>
                <w:rFonts w:hint="eastAsia"/>
                <w:highlight w:val="none"/>
              </w:rPr>
              <w:t>3.5.4</w:t>
            </w:r>
          </w:p>
        </w:tc>
        <w:tc>
          <w:tcPr>
            <w:tcW w:w="1660" w:type="dxa"/>
            <w:noWrap w:val="0"/>
            <w:vAlign w:val="center"/>
          </w:tcPr>
          <w:p w14:paraId="2CDBFB22">
            <w:pPr>
              <w:shd w:val="clear"/>
              <w:spacing w:line="360" w:lineRule="exact"/>
              <w:jc w:val="center"/>
              <w:rPr>
                <w:highlight w:val="none"/>
              </w:rPr>
            </w:pPr>
            <w:r>
              <w:rPr>
                <w:rFonts w:hint="eastAsia"/>
                <w:highlight w:val="none"/>
              </w:rPr>
              <w:t>近3年发生的诉讼及仲裁情况的年份要求</w:t>
            </w:r>
          </w:p>
        </w:tc>
        <w:tc>
          <w:tcPr>
            <w:tcW w:w="7151" w:type="dxa"/>
            <w:gridSpan w:val="2"/>
            <w:noWrap w:val="0"/>
            <w:vAlign w:val="center"/>
          </w:tcPr>
          <w:p w14:paraId="41505E32">
            <w:pPr>
              <w:shd w:val="clear"/>
              <w:spacing w:line="340" w:lineRule="exact"/>
              <w:rPr>
                <w:highlight w:val="none"/>
              </w:rPr>
            </w:pPr>
            <w:r>
              <w:rPr>
                <w:rFonts w:hint="eastAsia"/>
                <w:highlight w:val="none"/>
              </w:rPr>
              <w:t>20</w:t>
            </w:r>
            <w:r>
              <w:rPr>
                <w:rFonts w:hint="eastAsia"/>
                <w:highlight w:val="none"/>
                <w:lang w:val="en-US" w:eastAsia="zh-CN"/>
              </w:rPr>
              <w:t>23</w:t>
            </w:r>
            <w:r>
              <w:rPr>
                <w:rFonts w:hint="eastAsia"/>
                <w:highlight w:val="none"/>
              </w:rPr>
              <w:t>年</w:t>
            </w:r>
            <w:r>
              <w:rPr>
                <w:rFonts w:hint="eastAsia"/>
                <w:highlight w:val="none"/>
                <w:lang w:val="en-US" w:eastAsia="zh-CN"/>
              </w:rPr>
              <w:t>7</w:t>
            </w:r>
            <w:r>
              <w:rPr>
                <w:rFonts w:hint="eastAsia"/>
                <w:highlight w:val="none"/>
              </w:rPr>
              <w:t>月01日至今。</w:t>
            </w:r>
          </w:p>
        </w:tc>
      </w:tr>
      <w:tr w14:paraId="7606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8" w:type="dxa"/>
            <w:noWrap w:val="0"/>
            <w:vAlign w:val="center"/>
          </w:tcPr>
          <w:p w14:paraId="1F03949A">
            <w:pPr>
              <w:shd w:val="clear"/>
              <w:jc w:val="center"/>
              <w:rPr>
                <w:highlight w:val="none"/>
              </w:rPr>
            </w:pPr>
            <w:r>
              <w:rPr>
                <w:rFonts w:hint="eastAsia"/>
                <w:highlight w:val="none"/>
              </w:rPr>
              <w:t>3.7.1</w:t>
            </w:r>
          </w:p>
        </w:tc>
        <w:tc>
          <w:tcPr>
            <w:tcW w:w="1660" w:type="dxa"/>
            <w:noWrap w:val="0"/>
            <w:vAlign w:val="center"/>
          </w:tcPr>
          <w:p w14:paraId="1D1D79B4">
            <w:pPr>
              <w:shd w:val="clear"/>
              <w:spacing w:line="360" w:lineRule="exact"/>
              <w:jc w:val="center"/>
              <w:rPr>
                <w:highlight w:val="none"/>
              </w:rPr>
            </w:pPr>
            <w:r>
              <w:rPr>
                <w:rFonts w:hint="eastAsia"/>
                <w:highlight w:val="none"/>
              </w:rPr>
              <w:t>签字或盖章要求</w:t>
            </w:r>
          </w:p>
        </w:tc>
        <w:tc>
          <w:tcPr>
            <w:tcW w:w="7151" w:type="dxa"/>
            <w:gridSpan w:val="2"/>
            <w:noWrap w:val="0"/>
            <w:vAlign w:val="center"/>
          </w:tcPr>
          <w:p w14:paraId="59BA3E40">
            <w:pPr>
              <w:shd w:val="clear"/>
              <w:spacing w:line="340" w:lineRule="exact"/>
              <w:rPr>
                <w:highlight w:val="none"/>
              </w:rPr>
            </w:pPr>
            <w:r>
              <w:rPr>
                <w:rFonts w:hint="eastAsia"/>
                <w:highlight w:val="none"/>
              </w:rPr>
              <w:t>投标文件应按第五章“投标文件格式及内容”要求进行签字或盖章，否则其投标文件按照无效处理。</w:t>
            </w:r>
          </w:p>
        </w:tc>
      </w:tr>
      <w:tr w14:paraId="69CA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noWrap w:val="0"/>
            <w:vAlign w:val="center"/>
          </w:tcPr>
          <w:p w14:paraId="690C55EC">
            <w:pPr>
              <w:shd w:val="clear"/>
              <w:jc w:val="center"/>
              <w:rPr>
                <w:highlight w:val="none"/>
              </w:rPr>
            </w:pPr>
            <w:r>
              <w:rPr>
                <w:rFonts w:hint="eastAsia"/>
                <w:highlight w:val="none"/>
              </w:rPr>
              <w:t>3.7.2</w:t>
            </w:r>
          </w:p>
        </w:tc>
        <w:tc>
          <w:tcPr>
            <w:tcW w:w="1660" w:type="dxa"/>
            <w:noWrap w:val="0"/>
            <w:vAlign w:val="center"/>
          </w:tcPr>
          <w:p w14:paraId="14FCBAC2">
            <w:pPr>
              <w:shd w:val="clear"/>
              <w:spacing w:line="360" w:lineRule="exact"/>
              <w:jc w:val="center"/>
              <w:rPr>
                <w:highlight w:val="none"/>
              </w:rPr>
            </w:pPr>
            <w:r>
              <w:rPr>
                <w:rFonts w:hint="eastAsia"/>
                <w:highlight w:val="none"/>
              </w:rPr>
              <w:t>投标文件份数</w:t>
            </w:r>
            <w:r>
              <w:rPr>
                <w:rFonts w:hint="eastAsia"/>
                <w:highlight w:val="none"/>
                <w:lang w:eastAsia="zh-CN"/>
              </w:rPr>
              <w:t>（</w:t>
            </w:r>
            <w:r>
              <w:rPr>
                <w:rFonts w:hint="eastAsia"/>
                <w:highlight w:val="none"/>
                <w:lang w:val="en-US" w:eastAsia="zh-CN"/>
              </w:rPr>
              <w:t>中标单位提供纸质版投标文件）</w:t>
            </w:r>
          </w:p>
        </w:tc>
        <w:tc>
          <w:tcPr>
            <w:tcW w:w="7151" w:type="dxa"/>
            <w:gridSpan w:val="2"/>
            <w:noWrap w:val="0"/>
            <w:vAlign w:val="center"/>
          </w:tcPr>
          <w:p w14:paraId="4DA44384">
            <w:pPr>
              <w:shd w:val="clear"/>
              <w:spacing w:line="340" w:lineRule="exact"/>
              <w:rPr>
                <w:b/>
                <w:highlight w:val="none"/>
              </w:rPr>
            </w:pPr>
            <w:r>
              <w:rPr>
                <w:rFonts w:hint="eastAsia"/>
                <w:highlight w:val="none"/>
              </w:rPr>
              <w:t>中标人提供</w:t>
            </w:r>
            <w:r>
              <w:rPr>
                <w:rFonts w:hint="eastAsia"/>
                <w:highlight w:val="none"/>
                <w:lang w:val="en-US" w:eastAsia="zh-CN"/>
              </w:rPr>
              <w:t>纸质投标文件</w:t>
            </w:r>
            <w:r>
              <w:rPr>
                <w:rFonts w:hint="eastAsia"/>
                <w:highlight w:val="none"/>
              </w:rPr>
              <w:t>正本</w:t>
            </w:r>
            <w:r>
              <w:rPr>
                <w:rFonts w:hint="eastAsia"/>
                <w:highlight w:val="none"/>
                <w:lang w:eastAsia="zh-CN"/>
              </w:rPr>
              <w:t>、</w:t>
            </w:r>
            <w:r>
              <w:rPr>
                <w:rFonts w:hint="eastAsia"/>
                <w:highlight w:val="none"/>
              </w:rPr>
              <w:t>副本</w:t>
            </w:r>
            <w:r>
              <w:rPr>
                <w:rFonts w:hint="eastAsia"/>
                <w:highlight w:val="none"/>
                <w:lang w:val="en-US" w:eastAsia="zh-CN"/>
              </w:rPr>
              <w:t>各一</w:t>
            </w:r>
            <w:r>
              <w:rPr>
                <w:rFonts w:hint="eastAsia"/>
                <w:highlight w:val="none"/>
              </w:rPr>
              <w:t>份。</w:t>
            </w:r>
          </w:p>
        </w:tc>
      </w:tr>
      <w:tr w14:paraId="28A0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58" w:type="dxa"/>
            <w:noWrap w:val="0"/>
            <w:vAlign w:val="center"/>
          </w:tcPr>
          <w:p w14:paraId="35861297">
            <w:pPr>
              <w:shd w:val="clear"/>
              <w:jc w:val="center"/>
              <w:rPr>
                <w:highlight w:val="none"/>
              </w:rPr>
            </w:pPr>
            <w:r>
              <w:rPr>
                <w:rFonts w:hint="eastAsia"/>
                <w:highlight w:val="none"/>
              </w:rPr>
              <w:t>3.7.3</w:t>
            </w:r>
          </w:p>
        </w:tc>
        <w:tc>
          <w:tcPr>
            <w:tcW w:w="1660" w:type="dxa"/>
            <w:noWrap w:val="0"/>
            <w:vAlign w:val="center"/>
          </w:tcPr>
          <w:p w14:paraId="6718C520">
            <w:pPr>
              <w:shd w:val="clear"/>
              <w:spacing w:line="360" w:lineRule="exact"/>
              <w:ind w:left="120" w:leftChars="-50" w:right="-120" w:rightChars="-50" w:hanging="240" w:hangingChars="100"/>
              <w:jc w:val="center"/>
              <w:rPr>
                <w:highlight w:val="none"/>
              </w:rPr>
            </w:pPr>
            <w:r>
              <w:rPr>
                <w:rFonts w:hint="eastAsia"/>
                <w:highlight w:val="none"/>
              </w:rPr>
              <w:t>纸质投标文件装订要求</w:t>
            </w:r>
            <w:r>
              <w:rPr>
                <w:rFonts w:hint="eastAsia"/>
                <w:highlight w:val="none"/>
                <w:lang w:eastAsia="zh-CN"/>
              </w:rPr>
              <w:t>（</w:t>
            </w:r>
            <w:r>
              <w:rPr>
                <w:rFonts w:hint="eastAsia"/>
                <w:highlight w:val="none"/>
                <w:lang w:val="en-US" w:eastAsia="zh-CN"/>
              </w:rPr>
              <w:t>中标单位提供纸质版投标文件）</w:t>
            </w:r>
          </w:p>
        </w:tc>
        <w:tc>
          <w:tcPr>
            <w:tcW w:w="7151" w:type="dxa"/>
            <w:gridSpan w:val="2"/>
            <w:noWrap w:val="0"/>
            <w:vAlign w:val="center"/>
          </w:tcPr>
          <w:p w14:paraId="0232FDC8">
            <w:pPr>
              <w:shd w:val="clear"/>
              <w:spacing w:line="340" w:lineRule="exact"/>
              <w:jc w:val="left"/>
              <w:rPr>
                <w:highlight w:val="none"/>
              </w:rPr>
            </w:pPr>
            <w:r>
              <w:rPr>
                <w:rFonts w:hint="eastAsia"/>
                <w:highlight w:val="none"/>
              </w:rPr>
              <w:t>1、投标文件的正本与副本应分别装订成册。</w:t>
            </w:r>
          </w:p>
          <w:p w14:paraId="55E39CA8">
            <w:pPr>
              <w:shd w:val="clear"/>
              <w:spacing w:line="340" w:lineRule="exact"/>
              <w:jc w:val="left"/>
              <w:rPr>
                <w:highlight w:val="none"/>
              </w:rPr>
            </w:pPr>
            <w:r>
              <w:rPr>
                <w:rFonts w:hint="eastAsia"/>
                <w:highlight w:val="none"/>
              </w:rPr>
              <w:t>2、投标文件每册均须采用胶装方式在左侧装订，装订须牢固不易拆散和换页，不得采用活页方式装订。</w:t>
            </w:r>
          </w:p>
          <w:p w14:paraId="4E9B4D88">
            <w:pPr>
              <w:shd w:val="clear"/>
              <w:spacing w:line="340" w:lineRule="exact"/>
              <w:rPr>
                <w:rFonts w:hint="eastAsia"/>
                <w:highlight w:val="none"/>
              </w:rPr>
            </w:pPr>
            <w:r>
              <w:rPr>
                <w:rFonts w:hint="eastAsia"/>
                <w:highlight w:val="none"/>
              </w:rPr>
              <w:t>3、投标文件正本和副本的封面上应清楚地标记“正本”或“副本”的字样；正本和副本如有不一致之处，以正本为准。</w:t>
            </w:r>
          </w:p>
          <w:p w14:paraId="3F85BA66">
            <w:pPr>
              <w:pStyle w:val="2"/>
              <w:shd w:val="clear"/>
              <w:ind w:left="0" w:leftChars="0" w:right="-120" w:rightChars="-50" w:firstLine="0" w:firstLineChars="0"/>
              <w:rPr>
                <w:highlight w:val="none"/>
              </w:rPr>
            </w:pPr>
            <w:r>
              <w:rPr>
                <w:rFonts w:hint="eastAsia"/>
                <w:bCs/>
                <w:highlight w:val="none"/>
                <w:lang w:val="en-US" w:eastAsia="zh-CN"/>
              </w:rPr>
              <w:t>4、投标单位</w:t>
            </w:r>
            <w:r>
              <w:rPr>
                <w:rFonts w:hint="eastAsia"/>
                <w:highlight w:val="none"/>
                <w:lang w:val="en-US" w:eastAsia="zh-CN"/>
              </w:rPr>
              <w:t>收到中标通知书后3日内，</w:t>
            </w:r>
            <w:r>
              <w:rPr>
                <w:rFonts w:hint="eastAsia"/>
                <w:bCs/>
                <w:highlight w:val="none"/>
                <w:lang w:val="en-US" w:eastAsia="zh-CN"/>
              </w:rPr>
              <w:t>需将</w:t>
            </w:r>
            <w:r>
              <w:rPr>
                <w:rFonts w:hint="eastAsia"/>
                <w:highlight w:val="none"/>
              </w:rPr>
              <w:t>纸质投标文件</w:t>
            </w:r>
            <w:r>
              <w:rPr>
                <w:rFonts w:hint="eastAsia"/>
                <w:highlight w:val="none"/>
                <w:lang w:val="en-US" w:eastAsia="zh-CN"/>
              </w:rPr>
              <w:t>邮寄到山东省济南市官庄街道青野村东，山东济钢环保新材料有限公司，收件人：于女士</w:t>
            </w:r>
            <w:r>
              <w:rPr>
                <w:highlight w:val="none"/>
              </w:rPr>
              <w:t>，联系电话：</w:t>
            </w:r>
            <w:r>
              <w:rPr>
                <w:rFonts w:hint="eastAsia"/>
                <w:highlight w:val="none"/>
                <w:lang w:val="en-US" w:eastAsia="zh-CN"/>
              </w:rPr>
              <w:t>17860611790</w:t>
            </w:r>
          </w:p>
        </w:tc>
      </w:tr>
      <w:tr w14:paraId="4336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184E0A9">
            <w:pPr>
              <w:shd w:val="clear"/>
              <w:jc w:val="center"/>
              <w:rPr>
                <w:highlight w:val="none"/>
              </w:rPr>
            </w:pPr>
            <w:r>
              <w:rPr>
                <w:rFonts w:hint="eastAsia"/>
                <w:highlight w:val="none"/>
              </w:rPr>
              <w:t>3.7.4</w:t>
            </w:r>
          </w:p>
        </w:tc>
        <w:tc>
          <w:tcPr>
            <w:tcW w:w="1660" w:type="dxa"/>
            <w:noWrap w:val="0"/>
            <w:vAlign w:val="center"/>
          </w:tcPr>
          <w:p w14:paraId="72406B1B">
            <w:pPr>
              <w:shd w:val="clear"/>
              <w:spacing w:line="360" w:lineRule="exact"/>
              <w:ind w:left="240" w:hanging="240" w:hangingChars="100"/>
              <w:jc w:val="center"/>
              <w:rPr>
                <w:highlight w:val="none"/>
              </w:rPr>
            </w:pPr>
            <w:r>
              <w:rPr>
                <w:rFonts w:hint="eastAsia"/>
                <w:highlight w:val="none"/>
              </w:rPr>
              <w:t>电子文档</w:t>
            </w:r>
          </w:p>
        </w:tc>
        <w:tc>
          <w:tcPr>
            <w:tcW w:w="7151" w:type="dxa"/>
            <w:gridSpan w:val="2"/>
            <w:noWrap w:val="0"/>
            <w:vAlign w:val="center"/>
          </w:tcPr>
          <w:p w14:paraId="4FC25ED9">
            <w:pPr>
              <w:shd w:val="clear"/>
              <w:spacing w:line="340" w:lineRule="exact"/>
              <w:rPr>
                <w:bCs/>
                <w:highlight w:val="none"/>
              </w:rPr>
            </w:pPr>
            <w:r>
              <w:rPr>
                <w:rFonts w:hint="eastAsia"/>
                <w:bCs/>
                <w:highlight w:val="none"/>
              </w:rPr>
              <w:t>详见招标须知正文3.7.6条款</w:t>
            </w:r>
          </w:p>
        </w:tc>
      </w:tr>
      <w:tr w14:paraId="221F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2B0680A5">
            <w:pPr>
              <w:shd w:val="clear"/>
              <w:spacing w:line="442" w:lineRule="exact"/>
              <w:jc w:val="center"/>
              <w:rPr>
                <w:rFonts w:ascii="仿宋" w:hAnsi="仿宋" w:eastAsia="仿宋" w:cs="MingLiU"/>
                <w:highlight w:val="none"/>
              </w:rPr>
            </w:pPr>
            <w:r>
              <w:rPr>
                <w:rFonts w:ascii="仿宋" w:hAnsi="仿宋" w:eastAsia="仿宋" w:cs="MingLiU"/>
                <w:highlight w:val="none"/>
              </w:rPr>
              <w:t>4.2.1</w:t>
            </w:r>
          </w:p>
        </w:tc>
        <w:tc>
          <w:tcPr>
            <w:tcW w:w="1660" w:type="dxa"/>
            <w:noWrap w:val="0"/>
            <w:vAlign w:val="center"/>
          </w:tcPr>
          <w:p w14:paraId="0ADD591C">
            <w:pPr>
              <w:shd w:val="clear"/>
              <w:spacing w:line="360" w:lineRule="exact"/>
              <w:ind w:left="240" w:hanging="240" w:hangingChars="100"/>
              <w:rPr>
                <w:highlight w:val="none"/>
              </w:rPr>
            </w:pPr>
            <w:r>
              <w:rPr>
                <w:highlight w:val="none"/>
              </w:rPr>
              <w:t>递交</w:t>
            </w:r>
            <w:r>
              <w:rPr>
                <w:rFonts w:hint="eastAsia"/>
                <w:highlight w:val="none"/>
              </w:rPr>
              <w:t>投标</w:t>
            </w:r>
            <w:r>
              <w:rPr>
                <w:highlight w:val="none"/>
              </w:rPr>
              <w:t>文件截止时间</w:t>
            </w:r>
          </w:p>
        </w:tc>
        <w:tc>
          <w:tcPr>
            <w:tcW w:w="7151" w:type="dxa"/>
            <w:gridSpan w:val="2"/>
            <w:noWrap w:val="0"/>
            <w:vAlign w:val="center"/>
          </w:tcPr>
          <w:p w14:paraId="2A2D3AB3">
            <w:pPr>
              <w:shd w:val="clear"/>
              <w:spacing w:line="360" w:lineRule="exact"/>
              <w:ind w:left="240" w:hanging="240" w:hangingChars="100"/>
              <w:rPr>
                <w:highlight w:val="none"/>
              </w:rPr>
            </w:pPr>
            <w:r>
              <w:rPr>
                <w:rFonts w:hint="eastAsia"/>
                <w:highlight w:val="none"/>
                <w:lang w:eastAsia="zh-CN"/>
              </w:rPr>
              <w:t>2026年</w:t>
            </w:r>
            <w:r>
              <w:rPr>
                <w:rFonts w:hint="eastAsia"/>
                <w:highlight w:val="none"/>
                <w:lang w:val="en-US" w:eastAsia="zh-CN"/>
              </w:rPr>
              <w:t>7</w:t>
            </w:r>
            <w:r>
              <w:rPr>
                <w:rFonts w:hint="eastAsia"/>
                <w:highlight w:val="none"/>
              </w:rPr>
              <w:t>月</w:t>
            </w:r>
            <w:r>
              <w:rPr>
                <w:rFonts w:hint="eastAsia"/>
                <w:highlight w:val="none"/>
                <w:lang w:val="en-US" w:eastAsia="zh-CN"/>
              </w:rPr>
              <w:t>21</w:t>
            </w:r>
            <w:r>
              <w:rPr>
                <w:rFonts w:hint="eastAsia"/>
                <w:highlight w:val="none"/>
              </w:rPr>
              <w:t>日</w:t>
            </w:r>
            <w:r>
              <w:rPr>
                <w:rFonts w:hint="eastAsia"/>
                <w:color w:val="000000"/>
                <w:highlight w:val="none"/>
              </w:rPr>
              <w:t>9时00分</w:t>
            </w:r>
          </w:p>
        </w:tc>
      </w:tr>
      <w:tr w14:paraId="0F7E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7F151017">
            <w:pPr>
              <w:shd w:val="clear"/>
              <w:spacing w:line="442" w:lineRule="exact"/>
              <w:jc w:val="center"/>
              <w:rPr>
                <w:rFonts w:ascii="仿宋" w:hAnsi="仿宋" w:eastAsia="仿宋" w:cs="MingLiU"/>
                <w:highlight w:val="none"/>
              </w:rPr>
            </w:pPr>
            <w:r>
              <w:rPr>
                <w:rFonts w:ascii="仿宋" w:hAnsi="仿宋" w:eastAsia="仿宋" w:cs="MingLiU"/>
                <w:highlight w:val="none"/>
              </w:rPr>
              <w:t xml:space="preserve">4.2.2 </w:t>
            </w:r>
          </w:p>
        </w:tc>
        <w:tc>
          <w:tcPr>
            <w:tcW w:w="1660" w:type="dxa"/>
            <w:noWrap w:val="0"/>
            <w:vAlign w:val="center"/>
          </w:tcPr>
          <w:p w14:paraId="6DF27376">
            <w:pPr>
              <w:shd w:val="clear"/>
              <w:spacing w:line="360" w:lineRule="exact"/>
              <w:ind w:left="240" w:hanging="240" w:hangingChars="100"/>
              <w:jc w:val="center"/>
              <w:rPr>
                <w:highlight w:val="none"/>
              </w:rPr>
            </w:pPr>
            <w:r>
              <w:rPr>
                <w:highlight w:val="none"/>
              </w:rPr>
              <w:t>递交</w:t>
            </w:r>
            <w:r>
              <w:rPr>
                <w:rFonts w:hint="eastAsia"/>
                <w:highlight w:val="none"/>
              </w:rPr>
              <w:t>投标</w:t>
            </w:r>
            <w:r>
              <w:rPr>
                <w:highlight w:val="none"/>
              </w:rPr>
              <w:t>文件地点</w:t>
            </w:r>
          </w:p>
        </w:tc>
        <w:tc>
          <w:tcPr>
            <w:tcW w:w="7151" w:type="dxa"/>
            <w:gridSpan w:val="2"/>
            <w:noWrap w:val="0"/>
            <w:vAlign w:val="center"/>
          </w:tcPr>
          <w:p w14:paraId="0734EAC3">
            <w:pPr>
              <w:shd w:val="clear"/>
              <w:spacing w:line="360" w:lineRule="exact"/>
              <w:ind w:left="240" w:hanging="240" w:hangingChars="100"/>
              <w:rPr>
                <w:highlight w:val="none"/>
              </w:rPr>
            </w:pPr>
            <w:r>
              <w:rPr>
                <w:rFonts w:hint="eastAsia"/>
                <w:highlight w:val="none"/>
              </w:rPr>
              <w:t>上传至济钢集团有限公司阳光购销平台（网址：</w:t>
            </w:r>
            <w:r>
              <w:rPr>
                <w:rFonts w:hint="eastAsia"/>
                <w:highlight w:val="none"/>
              </w:rPr>
              <w:fldChar w:fldCharType="begin"/>
            </w:r>
            <w:r>
              <w:rPr>
                <w:rFonts w:hint="eastAsia"/>
                <w:highlight w:val="none"/>
              </w:rPr>
              <w:instrText xml:space="preserve"> HYPERLINK "http://bidding.jigang.com.cn" </w:instrText>
            </w:r>
            <w:r>
              <w:rPr>
                <w:rFonts w:hint="eastAsia"/>
                <w:highlight w:val="none"/>
              </w:rPr>
              <w:fldChar w:fldCharType="separate"/>
            </w:r>
            <w:r>
              <w:rPr>
                <w:rFonts w:hint="eastAsia"/>
                <w:highlight w:val="none"/>
              </w:rPr>
              <w:t>http://bidding.jigang.com.cn</w:t>
            </w:r>
            <w:r>
              <w:rPr>
                <w:rFonts w:hint="eastAsia"/>
                <w:highlight w:val="none"/>
              </w:rPr>
              <w:fldChar w:fldCharType="end"/>
            </w:r>
            <w:r>
              <w:rPr>
                <w:rFonts w:hint="eastAsia"/>
                <w:highlight w:val="none"/>
              </w:rPr>
              <w:t>/）</w:t>
            </w:r>
          </w:p>
        </w:tc>
      </w:tr>
      <w:tr w14:paraId="0245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1EB70856">
            <w:pPr>
              <w:shd w:val="clear"/>
              <w:jc w:val="center"/>
              <w:rPr>
                <w:color w:val="000000"/>
                <w:highlight w:val="none"/>
              </w:rPr>
            </w:pPr>
            <w:r>
              <w:rPr>
                <w:rFonts w:hint="eastAsia"/>
                <w:color w:val="000000"/>
                <w:highlight w:val="none"/>
              </w:rPr>
              <w:t>4.2.3</w:t>
            </w:r>
          </w:p>
        </w:tc>
        <w:tc>
          <w:tcPr>
            <w:tcW w:w="1660" w:type="dxa"/>
            <w:noWrap w:val="0"/>
            <w:vAlign w:val="center"/>
          </w:tcPr>
          <w:p w14:paraId="55FC8331">
            <w:pPr>
              <w:shd w:val="clear"/>
              <w:spacing w:line="360" w:lineRule="exact"/>
              <w:ind w:left="240" w:hanging="240" w:hangingChars="100"/>
              <w:jc w:val="center"/>
              <w:rPr>
                <w:highlight w:val="none"/>
              </w:rPr>
            </w:pPr>
            <w:r>
              <w:rPr>
                <w:rFonts w:hint="eastAsia"/>
                <w:highlight w:val="none"/>
              </w:rPr>
              <w:t>投标</w:t>
            </w:r>
            <w:r>
              <w:rPr>
                <w:highlight w:val="none"/>
              </w:rPr>
              <w:t>文件是否退还</w:t>
            </w:r>
          </w:p>
        </w:tc>
        <w:tc>
          <w:tcPr>
            <w:tcW w:w="7151" w:type="dxa"/>
            <w:gridSpan w:val="2"/>
            <w:noWrap w:val="0"/>
            <w:vAlign w:val="center"/>
          </w:tcPr>
          <w:p w14:paraId="41A3F6A4">
            <w:pPr>
              <w:shd w:val="clear"/>
              <w:spacing w:line="340" w:lineRule="exact"/>
              <w:ind w:left="240" w:hanging="240" w:hangingChars="100"/>
              <w:rPr>
                <w:highlight w:val="none"/>
              </w:rPr>
            </w:pPr>
            <w:r>
              <w:rPr>
                <w:rFonts w:hint="eastAsia"/>
                <w:highlight w:val="none"/>
              </w:rPr>
              <w:t>否</w:t>
            </w:r>
          </w:p>
        </w:tc>
      </w:tr>
      <w:tr w14:paraId="4118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2DA97A77">
            <w:pPr>
              <w:shd w:val="clear"/>
              <w:jc w:val="center"/>
              <w:rPr>
                <w:color w:val="000000"/>
                <w:highlight w:val="none"/>
              </w:rPr>
            </w:pPr>
            <w:r>
              <w:rPr>
                <w:rFonts w:hint="eastAsia"/>
                <w:color w:val="000000"/>
                <w:highlight w:val="none"/>
              </w:rPr>
              <w:t>5.1.1</w:t>
            </w:r>
          </w:p>
        </w:tc>
        <w:tc>
          <w:tcPr>
            <w:tcW w:w="1660" w:type="dxa"/>
            <w:noWrap w:val="0"/>
            <w:vAlign w:val="center"/>
          </w:tcPr>
          <w:p w14:paraId="2B29D523">
            <w:pPr>
              <w:shd w:val="clear"/>
              <w:spacing w:line="360" w:lineRule="exact"/>
              <w:jc w:val="center"/>
              <w:rPr>
                <w:rFonts w:hint="eastAsia"/>
                <w:color w:val="000000"/>
                <w:highlight w:val="none"/>
              </w:rPr>
            </w:pPr>
            <w:r>
              <w:rPr>
                <w:rFonts w:hint="eastAsia"/>
                <w:color w:val="000000"/>
                <w:highlight w:val="none"/>
              </w:rPr>
              <w:t>开标时间和</w:t>
            </w:r>
          </w:p>
          <w:p w14:paraId="65F9EA84">
            <w:pPr>
              <w:shd w:val="clear"/>
              <w:spacing w:line="360" w:lineRule="exact"/>
              <w:jc w:val="center"/>
              <w:rPr>
                <w:rFonts w:hint="eastAsia"/>
                <w:color w:val="000000"/>
                <w:highlight w:val="none"/>
              </w:rPr>
            </w:pPr>
            <w:r>
              <w:rPr>
                <w:rFonts w:hint="eastAsia"/>
                <w:color w:val="000000"/>
                <w:highlight w:val="none"/>
              </w:rPr>
              <w:t>方式</w:t>
            </w:r>
          </w:p>
        </w:tc>
        <w:tc>
          <w:tcPr>
            <w:tcW w:w="7151" w:type="dxa"/>
            <w:gridSpan w:val="2"/>
            <w:noWrap w:val="0"/>
            <w:vAlign w:val="center"/>
          </w:tcPr>
          <w:p w14:paraId="744C0899">
            <w:pPr>
              <w:shd w:val="clear"/>
              <w:spacing w:line="340" w:lineRule="exact"/>
              <w:rPr>
                <w:color w:val="000000"/>
                <w:highlight w:val="none"/>
              </w:rPr>
            </w:pPr>
            <w:r>
              <w:rPr>
                <w:rFonts w:hint="eastAsia"/>
                <w:color w:val="000000"/>
                <w:highlight w:val="none"/>
              </w:rPr>
              <w:t>开标时间：</w:t>
            </w:r>
            <w:r>
              <w:rPr>
                <w:rFonts w:hint="eastAsia"/>
                <w:highlight w:val="none"/>
                <w:lang w:eastAsia="zh-CN"/>
              </w:rPr>
              <w:t>2026年</w:t>
            </w:r>
            <w:r>
              <w:rPr>
                <w:rFonts w:hint="eastAsia"/>
                <w:highlight w:val="none"/>
                <w:lang w:val="en-US" w:eastAsia="zh-CN"/>
              </w:rPr>
              <w:t>7</w:t>
            </w:r>
            <w:r>
              <w:rPr>
                <w:rFonts w:hint="eastAsia"/>
                <w:highlight w:val="none"/>
              </w:rPr>
              <w:t>月</w:t>
            </w:r>
            <w:r>
              <w:rPr>
                <w:rFonts w:hint="eastAsia"/>
                <w:highlight w:val="none"/>
                <w:lang w:val="en-US" w:eastAsia="zh-CN"/>
              </w:rPr>
              <w:t>21</w:t>
            </w:r>
            <w:r>
              <w:rPr>
                <w:rFonts w:hint="eastAsia"/>
                <w:highlight w:val="none"/>
              </w:rPr>
              <w:t>日</w:t>
            </w:r>
            <w:r>
              <w:rPr>
                <w:rFonts w:hint="eastAsia"/>
                <w:color w:val="000000"/>
                <w:highlight w:val="none"/>
              </w:rPr>
              <w:t>9时</w:t>
            </w:r>
          </w:p>
          <w:p w14:paraId="4979362D">
            <w:pPr>
              <w:shd w:val="clear"/>
              <w:spacing w:line="340" w:lineRule="exact"/>
              <w:rPr>
                <w:rFonts w:hint="default" w:eastAsia="宋体"/>
                <w:color w:val="000000"/>
                <w:highlight w:val="none"/>
                <w:lang w:val="en-US" w:eastAsia="zh-CN"/>
              </w:rPr>
            </w:pPr>
            <w:r>
              <w:rPr>
                <w:rFonts w:hint="eastAsia"/>
                <w:color w:val="000000"/>
                <w:highlight w:val="none"/>
              </w:rPr>
              <w:t>开标方式：</w:t>
            </w:r>
            <w:r>
              <w:rPr>
                <w:rFonts w:hint="eastAsia"/>
                <w:color w:val="000000"/>
                <w:highlight w:val="none"/>
                <w:lang w:val="en-US" w:eastAsia="zh-CN"/>
              </w:rPr>
              <w:t>网上开标</w:t>
            </w:r>
          </w:p>
        </w:tc>
      </w:tr>
      <w:tr w14:paraId="050B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AB13760">
            <w:pPr>
              <w:shd w:val="clear"/>
              <w:jc w:val="center"/>
              <w:rPr>
                <w:highlight w:val="none"/>
              </w:rPr>
            </w:pPr>
            <w:r>
              <w:rPr>
                <w:rFonts w:hint="eastAsia"/>
                <w:highlight w:val="none"/>
              </w:rPr>
              <w:t>6.3</w:t>
            </w:r>
          </w:p>
        </w:tc>
        <w:tc>
          <w:tcPr>
            <w:tcW w:w="1660" w:type="dxa"/>
            <w:noWrap w:val="0"/>
            <w:vAlign w:val="center"/>
          </w:tcPr>
          <w:p w14:paraId="561FD34B">
            <w:pPr>
              <w:shd w:val="clear"/>
              <w:spacing w:line="360" w:lineRule="exact"/>
              <w:jc w:val="center"/>
              <w:rPr>
                <w:highlight w:val="none"/>
              </w:rPr>
            </w:pPr>
            <w:r>
              <w:rPr>
                <w:rFonts w:hint="eastAsia"/>
                <w:highlight w:val="none"/>
              </w:rPr>
              <w:t>评标方法</w:t>
            </w:r>
          </w:p>
        </w:tc>
        <w:tc>
          <w:tcPr>
            <w:tcW w:w="7151" w:type="dxa"/>
            <w:gridSpan w:val="2"/>
            <w:noWrap w:val="0"/>
            <w:vAlign w:val="center"/>
          </w:tcPr>
          <w:p w14:paraId="5F900514">
            <w:pPr>
              <w:shd w:val="clear"/>
              <w:spacing w:line="340" w:lineRule="exact"/>
              <w:rPr>
                <w:bCs/>
                <w:highlight w:val="none"/>
              </w:rPr>
            </w:pPr>
            <w:r>
              <w:rPr>
                <w:rFonts w:hint="eastAsia"/>
                <w:bCs/>
                <w:highlight w:val="none"/>
              </w:rPr>
              <w:t>综合评标法</w:t>
            </w:r>
          </w:p>
        </w:tc>
      </w:tr>
      <w:tr w14:paraId="1DA4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8" w:type="dxa"/>
            <w:noWrap w:val="0"/>
            <w:vAlign w:val="center"/>
          </w:tcPr>
          <w:p w14:paraId="7C43EAB8">
            <w:pPr>
              <w:shd w:val="clear"/>
              <w:jc w:val="center"/>
              <w:rPr>
                <w:rFonts w:hint="eastAsia"/>
                <w:highlight w:val="none"/>
              </w:rPr>
            </w:pPr>
            <w:r>
              <w:rPr>
                <w:rFonts w:hint="eastAsia"/>
                <w:highlight w:val="none"/>
              </w:rPr>
              <w:t>7.5</w:t>
            </w:r>
          </w:p>
        </w:tc>
        <w:tc>
          <w:tcPr>
            <w:tcW w:w="1660" w:type="dxa"/>
            <w:noWrap w:val="0"/>
            <w:vAlign w:val="center"/>
          </w:tcPr>
          <w:p w14:paraId="7D6C92A2">
            <w:pPr>
              <w:shd w:val="clear"/>
              <w:spacing w:line="360" w:lineRule="exact"/>
              <w:jc w:val="center"/>
              <w:rPr>
                <w:highlight w:val="none"/>
              </w:rPr>
            </w:pPr>
            <w:r>
              <w:rPr>
                <w:rFonts w:hint="eastAsia"/>
                <w:highlight w:val="none"/>
              </w:rPr>
              <w:t>履约</w:t>
            </w:r>
            <w:r>
              <w:rPr>
                <w:rFonts w:hint="eastAsia"/>
                <w:bCs/>
                <w:highlight w:val="none"/>
              </w:rPr>
              <w:t>保证金</w:t>
            </w:r>
          </w:p>
        </w:tc>
        <w:tc>
          <w:tcPr>
            <w:tcW w:w="7151" w:type="dxa"/>
            <w:gridSpan w:val="2"/>
            <w:noWrap w:val="0"/>
            <w:vAlign w:val="center"/>
          </w:tcPr>
          <w:p w14:paraId="66F8F88C">
            <w:pPr>
              <w:shd w:val="clear"/>
              <w:spacing w:line="340" w:lineRule="exact"/>
              <w:rPr>
                <w:rFonts w:hint="eastAsia" w:eastAsia="宋体"/>
                <w:color w:val="FF0000"/>
                <w:highlight w:val="none"/>
                <w:lang w:eastAsia="zh-CN"/>
              </w:rPr>
            </w:pPr>
            <w:r>
              <w:rPr>
                <w:rFonts w:hint="eastAsia"/>
                <w:bCs/>
                <w:highlight w:val="none"/>
                <w:lang w:val="en-US" w:eastAsia="zh-CN"/>
              </w:rPr>
              <w:t>无</w:t>
            </w:r>
          </w:p>
        </w:tc>
      </w:tr>
      <w:tr w14:paraId="5DE3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83" w:hRule="atLeast"/>
          <w:jc w:val="center"/>
        </w:trPr>
        <w:tc>
          <w:tcPr>
            <w:tcW w:w="958" w:type="dxa"/>
            <w:noWrap w:val="0"/>
            <w:vAlign w:val="center"/>
          </w:tcPr>
          <w:p w14:paraId="6C8CE907">
            <w:pPr>
              <w:shd w:val="clear"/>
              <w:jc w:val="center"/>
              <w:rPr>
                <w:highlight w:val="none"/>
              </w:rPr>
            </w:pPr>
            <w:r>
              <w:rPr>
                <w:rFonts w:hint="eastAsia"/>
                <w:highlight w:val="none"/>
              </w:rPr>
              <w:t>8.1</w:t>
            </w:r>
          </w:p>
        </w:tc>
        <w:tc>
          <w:tcPr>
            <w:tcW w:w="1660" w:type="dxa"/>
            <w:noWrap w:val="0"/>
            <w:vAlign w:val="center"/>
          </w:tcPr>
          <w:p w14:paraId="73D3E312">
            <w:pPr>
              <w:shd w:val="clear"/>
              <w:spacing w:line="360" w:lineRule="exact"/>
              <w:jc w:val="center"/>
              <w:rPr>
                <w:rFonts w:hint="eastAsia"/>
                <w:highlight w:val="none"/>
              </w:rPr>
            </w:pPr>
            <w:r>
              <w:rPr>
                <w:rFonts w:hint="eastAsia"/>
                <w:highlight w:val="none"/>
              </w:rPr>
              <w:t>重新招标</w:t>
            </w:r>
          </w:p>
        </w:tc>
        <w:tc>
          <w:tcPr>
            <w:tcW w:w="7138" w:type="dxa"/>
            <w:noWrap w:val="0"/>
            <w:vAlign w:val="center"/>
          </w:tcPr>
          <w:p w14:paraId="47FB65C5">
            <w:pPr>
              <w:shd w:val="clear"/>
              <w:spacing w:line="340" w:lineRule="exact"/>
              <w:rPr>
                <w:rFonts w:hint="eastAsia" w:cs="仿宋"/>
                <w:highlight w:val="none"/>
              </w:rPr>
            </w:pPr>
            <w:r>
              <w:rPr>
                <w:rFonts w:hint="eastAsia" w:cs="仿宋"/>
                <w:highlight w:val="none"/>
              </w:rPr>
              <w:t>有下列情形之一的，招标人将重新招标</w:t>
            </w:r>
          </w:p>
          <w:p w14:paraId="7DAAA237">
            <w:pPr>
              <w:shd w:val="clear"/>
              <w:spacing w:line="340" w:lineRule="exact"/>
              <w:rPr>
                <w:rFonts w:hint="eastAsia" w:cs="仿宋"/>
                <w:highlight w:val="none"/>
              </w:rPr>
            </w:pPr>
            <w:r>
              <w:rPr>
                <w:rFonts w:hint="eastAsia" w:cs="仿宋"/>
                <w:highlight w:val="none"/>
              </w:rPr>
              <w:t>1.截至到</w:t>
            </w:r>
            <w:r>
              <w:rPr>
                <w:rFonts w:hint="eastAsia"/>
                <w:highlight w:val="none"/>
              </w:rPr>
              <w:t>招标开始时间</w:t>
            </w:r>
            <w:r>
              <w:rPr>
                <w:rFonts w:hint="eastAsia" w:cs="仿宋"/>
                <w:highlight w:val="none"/>
              </w:rPr>
              <w:t>，提交投标文件的投标人少于3个的；</w:t>
            </w:r>
          </w:p>
          <w:p w14:paraId="17FA7695">
            <w:pPr>
              <w:shd w:val="clear"/>
              <w:spacing w:line="340" w:lineRule="exact"/>
              <w:rPr>
                <w:rFonts w:cs="仿宋"/>
                <w:highlight w:val="none"/>
              </w:rPr>
            </w:pPr>
            <w:r>
              <w:rPr>
                <w:rFonts w:hint="eastAsia" w:cs="仿宋"/>
                <w:highlight w:val="none"/>
              </w:rPr>
              <w:t>2.经评审委员会评审，否决部分投标人的投标文件后少于3个，缺乏竞争性的；</w:t>
            </w:r>
          </w:p>
          <w:p w14:paraId="3D8449BB">
            <w:pPr>
              <w:shd w:val="clear"/>
              <w:spacing w:line="340" w:lineRule="exact"/>
              <w:rPr>
                <w:highlight w:val="none"/>
              </w:rPr>
            </w:pPr>
            <w:r>
              <w:rPr>
                <w:rFonts w:hint="eastAsia" w:cs="仿宋"/>
                <w:highlight w:val="none"/>
              </w:rPr>
              <w:t>3.经评标委员会评标否决所有投标文件的。</w:t>
            </w:r>
          </w:p>
        </w:tc>
      </w:tr>
      <w:tr w14:paraId="0E85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noWrap w:val="0"/>
            <w:vAlign w:val="center"/>
          </w:tcPr>
          <w:p w14:paraId="32813FCA">
            <w:pPr>
              <w:shd w:val="clear"/>
              <w:jc w:val="center"/>
              <w:rPr>
                <w:highlight w:val="none"/>
              </w:rPr>
            </w:pPr>
            <w:r>
              <w:rPr>
                <w:rFonts w:hint="eastAsia"/>
                <w:highlight w:val="none"/>
              </w:rPr>
              <w:t>10.1</w:t>
            </w:r>
          </w:p>
        </w:tc>
        <w:tc>
          <w:tcPr>
            <w:tcW w:w="8811" w:type="dxa"/>
            <w:gridSpan w:val="3"/>
            <w:noWrap w:val="0"/>
            <w:vAlign w:val="center"/>
          </w:tcPr>
          <w:p w14:paraId="2892ECE9">
            <w:pPr>
              <w:shd w:val="clear"/>
              <w:spacing w:line="340" w:lineRule="exact"/>
              <w:rPr>
                <w:bCs/>
                <w:highlight w:val="none"/>
              </w:rPr>
            </w:pPr>
            <w:r>
              <w:rPr>
                <w:rFonts w:hint="eastAsia"/>
                <w:bCs/>
                <w:highlight w:val="none"/>
              </w:rPr>
              <w:t>在任何评标环节中，需评标委员会就某项定性的评标结论做出表决的，由评标委员会全体成员按照少数服从多数的原则，以记名投票方式表决。</w:t>
            </w:r>
          </w:p>
        </w:tc>
      </w:tr>
      <w:tr w14:paraId="0CBA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noWrap w:val="0"/>
            <w:vAlign w:val="center"/>
          </w:tcPr>
          <w:p w14:paraId="31DAFCFA">
            <w:pPr>
              <w:shd w:val="clear"/>
              <w:jc w:val="center"/>
              <w:rPr>
                <w:highlight w:val="none"/>
              </w:rPr>
            </w:pPr>
            <w:r>
              <w:rPr>
                <w:rFonts w:hint="eastAsia"/>
                <w:highlight w:val="none"/>
              </w:rPr>
              <w:t>10.2</w:t>
            </w:r>
          </w:p>
        </w:tc>
        <w:tc>
          <w:tcPr>
            <w:tcW w:w="8811" w:type="dxa"/>
            <w:gridSpan w:val="3"/>
            <w:noWrap w:val="0"/>
            <w:vAlign w:val="center"/>
          </w:tcPr>
          <w:p w14:paraId="2E1E5932">
            <w:pPr>
              <w:shd w:val="clear"/>
              <w:spacing w:line="340" w:lineRule="exact"/>
              <w:rPr>
                <w:highlight w:val="none"/>
              </w:rPr>
            </w:pPr>
            <w:r>
              <w:rPr>
                <w:rFonts w:hint="eastAsia"/>
                <w:highlight w:val="none"/>
              </w:rPr>
              <w:t>投标人认为招标文件中有限制、排斥投标人情形的，应当在招标开始时间2日前向招标人书面提出，未在规定时间内提出异议的，视为对招标文件无异议。</w:t>
            </w:r>
          </w:p>
        </w:tc>
      </w:tr>
    </w:tbl>
    <w:p w14:paraId="6AB12A22">
      <w:pPr>
        <w:shd w:val="clear"/>
        <w:rPr>
          <w:highlight w:val="none"/>
        </w:rPr>
      </w:pPr>
    </w:p>
    <w:p w14:paraId="540F6D74">
      <w:pPr>
        <w:pStyle w:val="2"/>
        <w:shd w:val="clear"/>
        <w:ind w:left="480" w:firstLine="480"/>
        <w:rPr>
          <w:highlight w:val="none"/>
        </w:rPr>
      </w:pPr>
    </w:p>
    <w:p w14:paraId="4CBD4800">
      <w:pPr>
        <w:pStyle w:val="57"/>
        <w:shd w:val="clear"/>
        <w:spacing w:before="156"/>
        <w:rPr>
          <w:rStyle w:val="96"/>
          <w:b/>
          <w:bCs w:val="0"/>
          <w:highlight w:val="none"/>
        </w:rPr>
      </w:pPr>
      <w:bookmarkStart w:id="21" w:name="_Toc312072226"/>
      <w:bookmarkStart w:id="22" w:name="_Toc269310918"/>
      <w:bookmarkStart w:id="23" w:name="_Toc446434287"/>
      <w:r>
        <w:rPr>
          <w:rFonts w:hint="eastAsia"/>
          <w:sz w:val="32"/>
          <w:szCs w:val="32"/>
          <w:highlight w:val="none"/>
        </w:rPr>
        <w:br w:type="page"/>
      </w:r>
      <w:bookmarkStart w:id="24" w:name="_Toc2043"/>
      <w:r>
        <w:rPr>
          <w:rFonts w:hint="eastAsia"/>
          <w:sz w:val="32"/>
          <w:szCs w:val="32"/>
          <w:highlight w:val="none"/>
        </w:rPr>
        <w:t>招标须知</w:t>
      </w:r>
      <w:bookmarkEnd w:id="21"/>
      <w:bookmarkEnd w:id="22"/>
      <w:r>
        <w:rPr>
          <w:rFonts w:hint="eastAsia"/>
          <w:sz w:val="32"/>
          <w:szCs w:val="32"/>
          <w:highlight w:val="none"/>
        </w:rPr>
        <w:t>正文部分</w:t>
      </w:r>
      <w:bookmarkEnd w:id="23"/>
      <w:bookmarkEnd w:id="24"/>
    </w:p>
    <w:p w14:paraId="756FA211">
      <w:pPr>
        <w:pStyle w:val="64"/>
        <w:shd w:val="clear"/>
        <w:ind w:left="851" w:leftChars="0" w:hanging="851" w:firstLineChars="0"/>
        <w:outlineLvl w:val="0"/>
        <w:rPr>
          <w:rStyle w:val="96"/>
          <w:b/>
          <w:bCs/>
          <w:highlight w:val="none"/>
        </w:rPr>
      </w:pPr>
      <w:bookmarkStart w:id="25" w:name="_Toc5134"/>
      <w:bookmarkStart w:id="26" w:name="_Toc506105818"/>
      <w:bookmarkStart w:id="27" w:name="_Toc507936013"/>
      <w:r>
        <w:rPr>
          <w:rStyle w:val="96"/>
          <w:rFonts w:hint="eastAsia"/>
          <w:b/>
          <w:bCs w:val="0"/>
          <w:highlight w:val="none"/>
        </w:rPr>
        <w:t>1.总则</w:t>
      </w:r>
      <w:bookmarkEnd w:id="25"/>
      <w:bookmarkEnd w:id="26"/>
      <w:bookmarkEnd w:id="27"/>
    </w:p>
    <w:p w14:paraId="4BE7002E">
      <w:pPr>
        <w:pStyle w:val="59"/>
        <w:shd w:val="clear"/>
        <w:ind w:left="851" w:leftChars="0" w:hanging="851" w:firstLineChars="0"/>
        <w:outlineLvl w:val="1"/>
        <w:rPr>
          <w:highlight w:val="none"/>
        </w:rPr>
      </w:pPr>
      <w:bookmarkStart w:id="28" w:name="_Toc507936014"/>
      <w:bookmarkStart w:id="29" w:name="_Toc506105819"/>
      <w:bookmarkStart w:id="30" w:name="_Toc1427"/>
      <w:r>
        <w:rPr>
          <w:rFonts w:hint="eastAsia"/>
          <w:highlight w:val="none"/>
        </w:rPr>
        <w:t>1.1 项目概况</w:t>
      </w:r>
      <w:bookmarkEnd w:id="28"/>
      <w:bookmarkEnd w:id="29"/>
      <w:bookmarkEnd w:id="30"/>
    </w:p>
    <w:p w14:paraId="2BE7B66E">
      <w:pPr>
        <w:shd w:val="clear"/>
        <w:spacing w:line="360" w:lineRule="auto"/>
        <w:ind w:firstLine="480" w:firstLineChars="200"/>
        <w:rPr>
          <w:rFonts w:cs="仿宋"/>
          <w:highlight w:val="none"/>
        </w:rPr>
      </w:pPr>
      <w:r>
        <w:rPr>
          <w:rFonts w:hint="eastAsia" w:cs="仿宋"/>
          <w:highlight w:val="none"/>
        </w:rPr>
        <w:t>根据《中华人民共和国招标投标法》、《中华人民共和国招标投标法实施条例》等有关法律、法规和规章的规定，本项目已具备公开招标条件。</w:t>
      </w:r>
    </w:p>
    <w:p w14:paraId="620CEE06">
      <w:pPr>
        <w:pStyle w:val="61"/>
        <w:keepNext w:val="0"/>
        <w:keepLines w:val="0"/>
        <w:shd w:val="clear"/>
        <w:spacing w:before="0" w:line="360" w:lineRule="auto"/>
        <w:ind w:firstLine="480" w:firstLineChars="200"/>
        <w:outlineLvl w:val="9"/>
        <w:rPr>
          <w:szCs w:val="28"/>
          <w:highlight w:val="none"/>
        </w:rPr>
      </w:pPr>
      <w:r>
        <w:rPr>
          <w:rFonts w:hint="eastAsia" w:ascii="宋体" w:hAnsi="宋体" w:cs="仿宋"/>
          <w:sz w:val="24"/>
          <w:highlight w:val="none"/>
        </w:rPr>
        <w:t xml:space="preserve">1.1.1 </w:t>
      </w:r>
      <w:r>
        <w:rPr>
          <w:rFonts w:hint="eastAsia" w:ascii="宋体" w:hAnsi="宋体" w:eastAsia="宋体" w:cs="仿宋"/>
          <w:kern w:val="2"/>
          <w:sz w:val="24"/>
          <w:szCs w:val="24"/>
          <w:highlight w:val="none"/>
        </w:rPr>
        <w:t>招标人：</w:t>
      </w:r>
      <w:r>
        <w:rPr>
          <w:rFonts w:hint="eastAsia" w:ascii="宋体" w:hAnsi="宋体" w:eastAsia="宋体" w:cs="仿宋"/>
          <w:sz w:val="24"/>
          <w:szCs w:val="24"/>
          <w:highlight w:val="none"/>
        </w:rPr>
        <w:t>详见投标人须知前附表</w:t>
      </w:r>
    </w:p>
    <w:p w14:paraId="0FE5D900">
      <w:pPr>
        <w:shd w:val="clear"/>
        <w:spacing w:line="360" w:lineRule="auto"/>
        <w:ind w:firstLine="480" w:firstLineChars="200"/>
        <w:rPr>
          <w:rFonts w:hint="eastAsia" w:cs="仿宋"/>
          <w:highlight w:val="none"/>
        </w:rPr>
      </w:pPr>
      <w:r>
        <w:rPr>
          <w:rFonts w:hint="eastAsia" w:cs="仿宋"/>
          <w:highlight w:val="none"/>
        </w:rPr>
        <w:t>1.1.2 招标项目名称：详见投标人须知前附表</w:t>
      </w:r>
    </w:p>
    <w:p w14:paraId="0EC1EC09">
      <w:pPr>
        <w:shd w:val="clear"/>
        <w:spacing w:line="360" w:lineRule="auto"/>
        <w:ind w:firstLine="480" w:firstLineChars="200"/>
        <w:rPr>
          <w:rFonts w:cs="仿宋"/>
          <w:highlight w:val="none"/>
        </w:rPr>
      </w:pPr>
      <w:r>
        <w:rPr>
          <w:rFonts w:hint="eastAsia" w:cs="仿宋"/>
          <w:highlight w:val="none"/>
        </w:rPr>
        <w:t>1.1.3项目概况: 详见投标人须知前附表</w:t>
      </w:r>
    </w:p>
    <w:p w14:paraId="2E8737FF">
      <w:pPr>
        <w:shd w:val="clear"/>
        <w:spacing w:line="360" w:lineRule="auto"/>
        <w:ind w:firstLine="480" w:firstLineChars="200"/>
        <w:rPr>
          <w:rFonts w:cs="仿宋"/>
          <w:highlight w:val="none"/>
        </w:rPr>
      </w:pPr>
      <w:r>
        <w:rPr>
          <w:rFonts w:hint="eastAsia" w:cs="仿宋"/>
          <w:highlight w:val="none"/>
        </w:rPr>
        <w:t>1.1.4 项目地点：详见投标人须知前附表</w:t>
      </w:r>
    </w:p>
    <w:p w14:paraId="765447A6">
      <w:pPr>
        <w:pStyle w:val="59"/>
        <w:shd w:val="clear"/>
        <w:ind w:left="851" w:leftChars="0" w:hanging="851" w:firstLineChars="0"/>
        <w:outlineLvl w:val="1"/>
        <w:rPr>
          <w:highlight w:val="none"/>
        </w:rPr>
      </w:pPr>
      <w:bookmarkStart w:id="31" w:name="_Toc247527555"/>
      <w:bookmarkStart w:id="32" w:name="_Toc27657"/>
      <w:bookmarkStart w:id="33" w:name="_Toc247513954"/>
      <w:bookmarkStart w:id="34" w:name="_Toc328559028"/>
      <w:bookmarkStart w:id="35" w:name="_Toc506105820"/>
      <w:bookmarkStart w:id="36" w:name="_Toc300834951"/>
      <w:bookmarkStart w:id="37" w:name="_Toc25497"/>
      <w:bookmarkStart w:id="38" w:name="_Toc32572"/>
      <w:bookmarkStart w:id="39" w:name="_Toc507936015"/>
      <w:r>
        <w:rPr>
          <w:rFonts w:hint="eastAsia"/>
          <w:highlight w:val="none"/>
        </w:rPr>
        <w:t>1.2 项目资金来源</w:t>
      </w:r>
      <w:bookmarkEnd w:id="31"/>
      <w:bookmarkEnd w:id="32"/>
      <w:bookmarkEnd w:id="33"/>
      <w:bookmarkEnd w:id="34"/>
      <w:bookmarkEnd w:id="35"/>
      <w:bookmarkEnd w:id="36"/>
      <w:bookmarkEnd w:id="37"/>
      <w:r>
        <w:rPr>
          <w:rFonts w:hint="eastAsia"/>
          <w:highlight w:val="none"/>
        </w:rPr>
        <w:t>、招标方式、招标控价</w:t>
      </w:r>
      <w:bookmarkEnd w:id="38"/>
      <w:bookmarkEnd w:id="39"/>
    </w:p>
    <w:p w14:paraId="572946E5">
      <w:pPr>
        <w:shd w:val="clear"/>
        <w:spacing w:line="360" w:lineRule="auto"/>
        <w:ind w:firstLine="480" w:firstLineChars="200"/>
        <w:rPr>
          <w:rFonts w:hint="eastAsia" w:cs="仿宋"/>
          <w:highlight w:val="none"/>
        </w:rPr>
      </w:pPr>
      <w:r>
        <w:rPr>
          <w:rFonts w:hint="eastAsia" w:cs="仿宋"/>
          <w:highlight w:val="none"/>
        </w:rPr>
        <w:t>1.2.1 项目资金来源：</w:t>
      </w:r>
      <w:bookmarkStart w:id="40" w:name="_Toc247527556"/>
      <w:bookmarkStart w:id="41" w:name="_Toc16572"/>
      <w:bookmarkStart w:id="42" w:name="_Toc300834952"/>
      <w:bookmarkStart w:id="43" w:name="_Toc30612"/>
      <w:bookmarkStart w:id="44" w:name="_Toc247513955"/>
      <w:bookmarkStart w:id="45" w:name="_Toc328559029"/>
      <w:r>
        <w:rPr>
          <w:rFonts w:hint="eastAsia" w:cs="仿宋"/>
          <w:highlight w:val="none"/>
        </w:rPr>
        <w:t>详见投标人须知前附表</w:t>
      </w:r>
    </w:p>
    <w:p w14:paraId="6A5910DC">
      <w:pPr>
        <w:shd w:val="clear"/>
        <w:spacing w:line="360" w:lineRule="auto"/>
        <w:ind w:firstLine="480" w:firstLineChars="200"/>
        <w:rPr>
          <w:rFonts w:hint="eastAsia" w:cs="仿宋"/>
          <w:highlight w:val="none"/>
        </w:rPr>
      </w:pPr>
      <w:r>
        <w:rPr>
          <w:rFonts w:hint="eastAsia" w:cs="仿宋"/>
          <w:highlight w:val="none"/>
        </w:rPr>
        <w:t>1.2.2招标方式：详见投标人须知前附表</w:t>
      </w:r>
    </w:p>
    <w:p w14:paraId="5514DBAA">
      <w:pPr>
        <w:pStyle w:val="2"/>
        <w:shd w:val="clear"/>
        <w:ind w:left="0" w:leftChars="0" w:firstLine="480"/>
        <w:rPr>
          <w:rFonts w:hint="eastAsia"/>
          <w:highlight w:val="none"/>
        </w:rPr>
      </w:pPr>
      <w:r>
        <w:rPr>
          <w:rFonts w:hint="eastAsia" w:ascii="宋体" w:hAnsi="宋体" w:cs="仿宋"/>
          <w:highlight w:val="none"/>
        </w:rPr>
        <w:t>1.2.3</w:t>
      </w:r>
      <w:r>
        <w:rPr>
          <w:rFonts w:hint="eastAsia"/>
          <w:highlight w:val="none"/>
        </w:rPr>
        <w:t>招标控价：</w:t>
      </w:r>
      <w:r>
        <w:rPr>
          <w:rFonts w:hint="eastAsia" w:ascii="宋体" w:hAnsi="宋体" w:cs="仿宋"/>
          <w:highlight w:val="none"/>
        </w:rPr>
        <w:t>详见</w:t>
      </w:r>
      <w:r>
        <w:rPr>
          <w:rFonts w:hint="eastAsia" w:cs="仿宋"/>
          <w:highlight w:val="none"/>
        </w:rPr>
        <w:t>投标人须知前附表</w:t>
      </w:r>
    </w:p>
    <w:p w14:paraId="782B710D">
      <w:pPr>
        <w:pStyle w:val="59"/>
        <w:shd w:val="clear"/>
        <w:ind w:left="851" w:leftChars="0" w:hanging="851" w:firstLineChars="0"/>
        <w:outlineLvl w:val="1"/>
        <w:rPr>
          <w:highlight w:val="none"/>
        </w:rPr>
      </w:pPr>
      <w:bookmarkStart w:id="46" w:name="_Toc506105821"/>
      <w:bookmarkStart w:id="47" w:name="_Toc507936016"/>
      <w:bookmarkStart w:id="48" w:name="_Toc14661"/>
      <w:r>
        <w:rPr>
          <w:rFonts w:hint="eastAsia"/>
          <w:highlight w:val="none"/>
        </w:rPr>
        <w:t>1.3 招标范围、供货周期、</w:t>
      </w:r>
      <w:bookmarkEnd w:id="40"/>
      <w:bookmarkEnd w:id="41"/>
      <w:bookmarkEnd w:id="42"/>
      <w:bookmarkEnd w:id="43"/>
      <w:bookmarkEnd w:id="44"/>
      <w:bookmarkEnd w:id="45"/>
      <w:bookmarkEnd w:id="46"/>
      <w:r>
        <w:rPr>
          <w:rFonts w:hint="eastAsia"/>
          <w:highlight w:val="none"/>
        </w:rPr>
        <w:t>交货地点和质保期</w:t>
      </w:r>
      <w:bookmarkEnd w:id="47"/>
      <w:bookmarkEnd w:id="48"/>
    </w:p>
    <w:p w14:paraId="4B6DE3D3">
      <w:pPr>
        <w:shd w:val="clear"/>
        <w:tabs>
          <w:tab w:val="left" w:pos="220"/>
        </w:tabs>
        <w:snapToGrid w:val="0"/>
        <w:spacing w:line="360" w:lineRule="auto"/>
        <w:ind w:firstLine="480" w:firstLineChars="200"/>
        <w:rPr>
          <w:rFonts w:cs="仿宋"/>
          <w:highlight w:val="none"/>
        </w:rPr>
      </w:pPr>
      <w:r>
        <w:rPr>
          <w:rFonts w:hint="eastAsia" w:cs="仿宋"/>
          <w:highlight w:val="none"/>
        </w:rPr>
        <w:t>1.3.1 招标范围：详见投标人须知前附表</w:t>
      </w:r>
    </w:p>
    <w:p w14:paraId="7BFEFDC1">
      <w:pPr>
        <w:shd w:val="clear"/>
        <w:spacing w:line="360" w:lineRule="auto"/>
        <w:ind w:firstLine="480" w:firstLineChars="200"/>
        <w:rPr>
          <w:rFonts w:hint="eastAsia" w:cs="仿宋"/>
          <w:highlight w:val="none"/>
        </w:rPr>
      </w:pPr>
      <w:r>
        <w:rPr>
          <w:rFonts w:hint="eastAsia" w:cs="仿宋"/>
          <w:highlight w:val="none"/>
        </w:rPr>
        <w:t>1.3.2 供货周期：详见投标人须知前附表</w:t>
      </w:r>
    </w:p>
    <w:p w14:paraId="6D851B6B">
      <w:pPr>
        <w:shd w:val="clear"/>
        <w:spacing w:line="360" w:lineRule="auto"/>
        <w:ind w:firstLine="480" w:firstLineChars="200"/>
        <w:rPr>
          <w:rFonts w:hint="eastAsia" w:cs="仿宋"/>
          <w:highlight w:val="none"/>
        </w:rPr>
      </w:pPr>
      <w:r>
        <w:rPr>
          <w:rFonts w:hint="eastAsia" w:cs="仿宋"/>
          <w:highlight w:val="none"/>
        </w:rPr>
        <w:t>1.3.3 交货地点：详见投标人须知前附表</w:t>
      </w:r>
    </w:p>
    <w:p w14:paraId="7E2DE44A">
      <w:pPr>
        <w:shd w:val="clear"/>
        <w:spacing w:line="360" w:lineRule="auto"/>
        <w:ind w:firstLine="480" w:firstLineChars="200"/>
        <w:rPr>
          <w:rFonts w:cs="仿宋"/>
          <w:highlight w:val="none"/>
        </w:rPr>
      </w:pPr>
      <w:r>
        <w:rPr>
          <w:rFonts w:hint="eastAsia" w:cs="仿宋"/>
          <w:highlight w:val="none"/>
        </w:rPr>
        <w:t>1.3.4质保期：详见投标人须知前附表</w:t>
      </w:r>
    </w:p>
    <w:p w14:paraId="7735DB4A">
      <w:pPr>
        <w:pStyle w:val="59"/>
        <w:shd w:val="clear"/>
        <w:ind w:left="851" w:leftChars="0" w:hanging="851" w:firstLineChars="0"/>
        <w:outlineLvl w:val="1"/>
        <w:rPr>
          <w:highlight w:val="none"/>
        </w:rPr>
      </w:pPr>
      <w:bookmarkStart w:id="49" w:name="_Toc506105822"/>
      <w:bookmarkStart w:id="50" w:name="_Toc8457"/>
      <w:bookmarkStart w:id="51" w:name="_Toc507936017"/>
      <w:r>
        <w:rPr>
          <w:rFonts w:hint="eastAsia"/>
          <w:highlight w:val="none"/>
        </w:rPr>
        <w:t>1.4 投标人资格要求</w:t>
      </w:r>
      <w:bookmarkEnd w:id="49"/>
      <w:bookmarkEnd w:id="50"/>
      <w:bookmarkEnd w:id="51"/>
    </w:p>
    <w:p w14:paraId="16E01A2D">
      <w:pPr>
        <w:shd w:val="clear"/>
        <w:ind w:firstLine="480" w:firstLineChars="200"/>
        <w:outlineLvl w:val="2"/>
        <w:rPr>
          <w:rFonts w:cs="仿宋"/>
          <w:highlight w:val="none"/>
        </w:rPr>
      </w:pPr>
      <w:bookmarkStart w:id="52" w:name="_Toc18260"/>
      <w:r>
        <w:rPr>
          <w:rFonts w:hint="eastAsia" w:cs="仿宋"/>
          <w:highlight w:val="none"/>
        </w:rPr>
        <w:t xml:space="preserve">1.4.1 </w:t>
      </w:r>
      <w:r>
        <w:rPr>
          <w:rFonts w:hint="eastAsia"/>
          <w:highlight w:val="none"/>
        </w:rPr>
        <w:t>投标人</w:t>
      </w:r>
      <w:r>
        <w:rPr>
          <w:rFonts w:hint="eastAsia" w:cs="仿宋"/>
          <w:highlight w:val="none"/>
        </w:rPr>
        <w:t>资格要求：详见投标人须知前附表</w:t>
      </w:r>
      <w:bookmarkEnd w:id="52"/>
    </w:p>
    <w:p w14:paraId="6EF76A7E">
      <w:pPr>
        <w:shd w:val="clear"/>
        <w:spacing w:line="360" w:lineRule="auto"/>
        <w:ind w:firstLine="480" w:firstLineChars="200"/>
        <w:outlineLvl w:val="2"/>
        <w:rPr>
          <w:rFonts w:hint="eastAsia" w:cs="仿宋"/>
          <w:highlight w:val="none"/>
        </w:rPr>
      </w:pPr>
      <w:bookmarkStart w:id="53" w:name="_Toc7711"/>
      <w:r>
        <w:rPr>
          <w:rFonts w:hint="eastAsia" w:cs="仿宋"/>
          <w:highlight w:val="none"/>
        </w:rPr>
        <w:t>1.4.2 本次招标不接受联合体。</w:t>
      </w:r>
      <w:bookmarkEnd w:id="53"/>
    </w:p>
    <w:p w14:paraId="114B8799">
      <w:pPr>
        <w:shd w:val="clear"/>
        <w:tabs>
          <w:tab w:val="left" w:pos="220"/>
        </w:tabs>
        <w:snapToGrid w:val="0"/>
        <w:spacing w:line="360" w:lineRule="auto"/>
        <w:ind w:firstLine="480" w:firstLineChars="200"/>
        <w:outlineLvl w:val="2"/>
        <w:rPr>
          <w:rFonts w:hint="eastAsia" w:cs="仿宋"/>
          <w:highlight w:val="none"/>
        </w:rPr>
      </w:pPr>
      <w:bookmarkStart w:id="54" w:name="_Toc21860"/>
      <w:r>
        <w:rPr>
          <w:rFonts w:hint="eastAsia" w:cs="仿宋"/>
          <w:highlight w:val="none"/>
        </w:rPr>
        <w:t>1.4.3投标人不得存在下列情形之一：</w:t>
      </w:r>
      <w:bookmarkEnd w:id="54"/>
    </w:p>
    <w:p w14:paraId="6D2D2386">
      <w:pPr>
        <w:shd w:val="clear"/>
        <w:tabs>
          <w:tab w:val="left" w:pos="220"/>
        </w:tabs>
        <w:snapToGrid w:val="0"/>
        <w:spacing w:line="360" w:lineRule="auto"/>
        <w:ind w:firstLine="480" w:firstLineChars="200"/>
        <w:rPr>
          <w:rFonts w:hint="eastAsia" w:cs="仿宋"/>
          <w:highlight w:val="none"/>
        </w:rPr>
      </w:pPr>
      <w:r>
        <w:rPr>
          <w:rFonts w:hint="eastAsia" w:cs="仿宋"/>
          <w:highlight w:val="none"/>
        </w:rPr>
        <w:t>（1）与招标人存在利害关系且可能影响招标公正性；</w:t>
      </w:r>
    </w:p>
    <w:p w14:paraId="422E0EEF">
      <w:pPr>
        <w:shd w:val="clear"/>
        <w:tabs>
          <w:tab w:val="left" w:pos="220"/>
        </w:tabs>
        <w:snapToGrid w:val="0"/>
        <w:spacing w:line="360" w:lineRule="auto"/>
        <w:ind w:firstLine="480" w:firstLineChars="200"/>
        <w:rPr>
          <w:rFonts w:hint="eastAsia" w:cs="仿宋"/>
          <w:highlight w:val="none"/>
        </w:rPr>
      </w:pPr>
      <w:r>
        <w:rPr>
          <w:rFonts w:hint="eastAsia" w:cs="仿宋"/>
          <w:highlight w:val="none"/>
        </w:rPr>
        <w:t>（2）与本招标项目的其他投标人为同一个单位负责人；</w:t>
      </w:r>
    </w:p>
    <w:p w14:paraId="74E2CE24">
      <w:pPr>
        <w:shd w:val="clear"/>
        <w:tabs>
          <w:tab w:val="left" w:pos="220"/>
        </w:tabs>
        <w:snapToGrid w:val="0"/>
        <w:spacing w:line="360" w:lineRule="auto"/>
        <w:ind w:firstLine="480" w:firstLineChars="200"/>
        <w:rPr>
          <w:rFonts w:hint="eastAsia" w:cs="仿宋"/>
          <w:highlight w:val="none"/>
        </w:rPr>
      </w:pPr>
      <w:r>
        <w:rPr>
          <w:rFonts w:hint="eastAsia" w:cs="仿宋"/>
          <w:highlight w:val="none"/>
        </w:rPr>
        <w:t>（3）与本招标项目的其他投标人存在控股、管理关系；</w:t>
      </w:r>
    </w:p>
    <w:p w14:paraId="519F658B">
      <w:pPr>
        <w:shd w:val="clear"/>
        <w:tabs>
          <w:tab w:val="left" w:pos="220"/>
        </w:tabs>
        <w:snapToGrid w:val="0"/>
        <w:spacing w:line="360" w:lineRule="auto"/>
        <w:ind w:firstLine="480" w:firstLineChars="200"/>
        <w:rPr>
          <w:rFonts w:hint="eastAsia" w:cs="仿宋"/>
          <w:highlight w:val="none"/>
        </w:rPr>
      </w:pPr>
      <w:r>
        <w:rPr>
          <w:rFonts w:hint="eastAsia" w:cs="仿宋"/>
          <w:highlight w:val="none"/>
        </w:rPr>
        <w:t>（4）与本招标项目其他投标人代理同一个制造商同一品牌同一型号的设备投标；</w:t>
      </w:r>
    </w:p>
    <w:p w14:paraId="48576199">
      <w:pPr>
        <w:shd w:val="clear"/>
        <w:tabs>
          <w:tab w:val="left" w:pos="220"/>
        </w:tabs>
        <w:snapToGrid w:val="0"/>
        <w:spacing w:line="360" w:lineRule="auto"/>
        <w:ind w:firstLine="480" w:firstLineChars="200"/>
        <w:rPr>
          <w:rFonts w:hint="eastAsia" w:cs="仿宋"/>
          <w:highlight w:val="none"/>
        </w:rPr>
      </w:pPr>
      <w:r>
        <w:rPr>
          <w:rFonts w:hint="eastAsia" w:cs="仿宋"/>
          <w:highlight w:val="none"/>
        </w:rPr>
        <w:t>（5）为本招标项目提供过设计、编制技术规范和其他文件的咨询服务；</w:t>
      </w:r>
    </w:p>
    <w:p w14:paraId="5B37AE7A">
      <w:pPr>
        <w:shd w:val="clear"/>
        <w:tabs>
          <w:tab w:val="left" w:pos="220"/>
        </w:tabs>
        <w:snapToGrid w:val="0"/>
        <w:spacing w:line="360" w:lineRule="auto"/>
        <w:ind w:firstLine="480" w:firstLineChars="200"/>
        <w:rPr>
          <w:rFonts w:hint="eastAsia" w:cs="仿宋"/>
          <w:highlight w:val="none"/>
        </w:rPr>
      </w:pPr>
      <w:r>
        <w:rPr>
          <w:rFonts w:hint="eastAsia" w:cs="仿宋"/>
          <w:highlight w:val="none"/>
        </w:rPr>
        <w:t>（6）为本工程项目的相关监理人，或者与本工程项目的相关监理人存在隶属关系或者其他 利害关系；</w:t>
      </w:r>
    </w:p>
    <w:p w14:paraId="4C268759">
      <w:pPr>
        <w:shd w:val="clear"/>
        <w:tabs>
          <w:tab w:val="left" w:pos="220"/>
        </w:tabs>
        <w:snapToGrid w:val="0"/>
        <w:spacing w:line="360" w:lineRule="auto"/>
        <w:ind w:firstLine="480" w:firstLineChars="200"/>
        <w:rPr>
          <w:rFonts w:hint="eastAsia" w:cs="仿宋"/>
          <w:highlight w:val="none"/>
        </w:rPr>
      </w:pPr>
      <w:r>
        <w:rPr>
          <w:rFonts w:hint="eastAsia" w:cs="仿宋"/>
          <w:highlight w:val="none"/>
        </w:rPr>
        <w:t>（7）为本招标项目的代建人；</w:t>
      </w:r>
    </w:p>
    <w:p w14:paraId="64C37D68">
      <w:pPr>
        <w:shd w:val="clear"/>
        <w:tabs>
          <w:tab w:val="left" w:pos="220"/>
        </w:tabs>
        <w:snapToGrid w:val="0"/>
        <w:spacing w:line="360" w:lineRule="auto"/>
        <w:ind w:firstLine="480" w:firstLineChars="200"/>
        <w:rPr>
          <w:rFonts w:hint="eastAsia" w:cs="仿宋"/>
          <w:highlight w:val="none"/>
        </w:rPr>
      </w:pPr>
      <w:r>
        <w:rPr>
          <w:rFonts w:hint="eastAsia" w:cs="仿宋"/>
          <w:highlight w:val="none"/>
        </w:rPr>
        <w:t>（8）为本招标项目的招标代理机构；</w:t>
      </w:r>
    </w:p>
    <w:p w14:paraId="1CAD345F">
      <w:pPr>
        <w:shd w:val="clear"/>
        <w:tabs>
          <w:tab w:val="left" w:pos="220"/>
        </w:tabs>
        <w:snapToGrid w:val="0"/>
        <w:spacing w:line="360" w:lineRule="auto"/>
        <w:ind w:firstLine="480" w:firstLineChars="200"/>
        <w:rPr>
          <w:rFonts w:hint="eastAsia" w:cs="仿宋"/>
          <w:highlight w:val="none"/>
        </w:rPr>
      </w:pPr>
      <w:r>
        <w:rPr>
          <w:rFonts w:hint="eastAsia" w:cs="仿宋"/>
          <w:highlight w:val="none"/>
        </w:rPr>
        <w:t>（9）与本招标项目的监理人或代建人或招标代理机构同为一个法定代表人；</w:t>
      </w:r>
    </w:p>
    <w:p w14:paraId="358A68B7">
      <w:pPr>
        <w:shd w:val="clear"/>
        <w:tabs>
          <w:tab w:val="left" w:pos="220"/>
        </w:tabs>
        <w:snapToGrid w:val="0"/>
        <w:spacing w:line="360" w:lineRule="auto"/>
        <w:ind w:firstLine="480" w:firstLineChars="200"/>
        <w:rPr>
          <w:rFonts w:hint="eastAsia" w:cs="仿宋"/>
          <w:highlight w:val="none"/>
        </w:rPr>
      </w:pPr>
      <w:r>
        <w:rPr>
          <w:rFonts w:hint="eastAsia" w:cs="仿宋"/>
          <w:highlight w:val="none"/>
        </w:rPr>
        <w:t>（10）与本招标项目的监理人或代建人或招标代理机构存在控股或参股关系；</w:t>
      </w:r>
    </w:p>
    <w:p w14:paraId="46919B8C">
      <w:pPr>
        <w:shd w:val="clear"/>
        <w:tabs>
          <w:tab w:val="left" w:pos="220"/>
        </w:tabs>
        <w:snapToGrid w:val="0"/>
        <w:spacing w:line="360" w:lineRule="auto"/>
        <w:ind w:firstLine="480" w:firstLineChars="200"/>
        <w:rPr>
          <w:rFonts w:hint="eastAsia" w:cs="仿宋"/>
          <w:highlight w:val="none"/>
        </w:rPr>
      </w:pPr>
      <w:r>
        <w:rPr>
          <w:rFonts w:hint="eastAsia" w:cs="仿宋"/>
          <w:highlight w:val="none"/>
        </w:rPr>
        <w:t>（11）被依法暂停或者取消投标资格；</w:t>
      </w:r>
    </w:p>
    <w:p w14:paraId="6C5AC78B">
      <w:pPr>
        <w:shd w:val="clear"/>
        <w:tabs>
          <w:tab w:val="left" w:pos="220"/>
        </w:tabs>
        <w:snapToGrid w:val="0"/>
        <w:spacing w:line="360" w:lineRule="auto"/>
        <w:ind w:firstLine="480" w:firstLineChars="200"/>
        <w:rPr>
          <w:rFonts w:hint="eastAsia" w:cs="仿宋"/>
          <w:highlight w:val="none"/>
        </w:rPr>
      </w:pPr>
      <w:r>
        <w:rPr>
          <w:rFonts w:hint="eastAsia" w:cs="仿宋"/>
          <w:highlight w:val="none"/>
        </w:rPr>
        <w:t>（12）被责令停产停业、暂扣或者吊销许可证、暂扣或者吊销执照；</w:t>
      </w:r>
    </w:p>
    <w:p w14:paraId="1823FB7B">
      <w:pPr>
        <w:shd w:val="clear"/>
        <w:tabs>
          <w:tab w:val="left" w:pos="220"/>
        </w:tabs>
        <w:snapToGrid w:val="0"/>
        <w:spacing w:line="360" w:lineRule="auto"/>
        <w:ind w:firstLine="480" w:firstLineChars="200"/>
        <w:rPr>
          <w:rFonts w:hint="eastAsia" w:cs="仿宋"/>
          <w:highlight w:val="none"/>
        </w:rPr>
      </w:pPr>
      <w:r>
        <w:rPr>
          <w:rFonts w:hint="eastAsia" w:cs="仿宋"/>
          <w:highlight w:val="none"/>
        </w:rPr>
        <w:t>（13）进入清算程序，或被宣告破产，或其他丧失履约能力的情形；</w:t>
      </w:r>
    </w:p>
    <w:p w14:paraId="2C0BC03A">
      <w:pPr>
        <w:shd w:val="clear"/>
        <w:tabs>
          <w:tab w:val="left" w:pos="220"/>
        </w:tabs>
        <w:snapToGrid w:val="0"/>
        <w:spacing w:line="360" w:lineRule="auto"/>
        <w:ind w:firstLine="480" w:firstLineChars="200"/>
        <w:rPr>
          <w:rFonts w:hint="eastAsia" w:cs="仿宋"/>
          <w:highlight w:val="none"/>
        </w:rPr>
      </w:pPr>
      <w:r>
        <w:rPr>
          <w:rFonts w:hint="eastAsia" w:cs="仿宋"/>
          <w:highlight w:val="none"/>
        </w:rPr>
        <w:t>（14）在最近三年内发生重大产品质量问题（以相关行业主管部门的行政处罚决定或司法 机关出具的有关法律文书为准）；</w:t>
      </w:r>
    </w:p>
    <w:p w14:paraId="7CB18A4F">
      <w:pPr>
        <w:shd w:val="clear"/>
        <w:tabs>
          <w:tab w:val="left" w:pos="220"/>
        </w:tabs>
        <w:snapToGrid w:val="0"/>
        <w:spacing w:line="360" w:lineRule="auto"/>
        <w:ind w:firstLine="480" w:firstLineChars="200"/>
        <w:rPr>
          <w:rFonts w:hint="eastAsia" w:cs="仿宋"/>
          <w:highlight w:val="none"/>
        </w:rPr>
      </w:pPr>
      <w:r>
        <w:rPr>
          <w:rFonts w:hint="eastAsia" w:cs="仿宋"/>
          <w:highlight w:val="none"/>
        </w:rPr>
        <w:t>（15）被工商行政管理机关在全国企业信用信息公示系统中列入严重违法失信企业名单；</w:t>
      </w:r>
    </w:p>
    <w:p w14:paraId="0EC2DC74">
      <w:pPr>
        <w:shd w:val="clear"/>
        <w:tabs>
          <w:tab w:val="left" w:pos="220"/>
        </w:tabs>
        <w:snapToGrid w:val="0"/>
        <w:spacing w:line="360" w:lineRule="auto"/>
        <w:ind w:firstLine="480" w:firstLineChars="200"/>
        <w:rPr>
          <w:rFonts w:hint="eastAsia" w:cs="仿宋"/>
          <w:highlight w:val="none"/>
        </w:rPr>
      </w:pPr>
      <w:r>
        <w:rPr>
          <w:rFonts w:hint="eastAsia" w:cs="仿宋"/>
          <w:highlight w:val="none"/>
        </w:rPr>
        <w:t>（16）被最高人民法院在“信用中国”网站（www.creditchina.gov.cn)或各级信用信息共享平台中列入失信被执行人名单；</w:t>
      </w:r>
    </w:p>
    <w:p w14:paraId="1FA99FFC">
      <w:pPr>
        <w:shd w:val="clear"/>
        <w:tabs>
          <w:tab w:val="left" w:pos="220"/>
        </w:tabs>
        <w:snapToGrid w:val="0"/>
        <w:spacing w:line="360" w:lineRule="auto"/>
        <w:ind w:firstLine="480" w:firstLineChars="200"/>
        <w:rPr>
          <w:rFonts w:hint="eastAsia" w:cs="仿宋"/>
          <w:highlight w:val="none"/>
        </w:rPr>
      </w:pPr>
      <w:r>
        <w:rPr>
          <w:rFonts w:hint="eastAsia" w:cs="仿宋"/>
          <w:highlight w:val="none"/>
        </w:rPr>
        <w:t>（17）在近三年内投标人或其法定代表人、拟委任的项目负责人有行贿犯罪行为的（以检察机关职务犯罪预防部门出具的查询结果为准）；</w:t>
      </w:r>
    </w:p>
    <w:p w14:paraId="4B8EEA2A">
      <w:pPr>
        <w:shd w:val="clear"/>
        <w:tabs>
          <w:tab w:val="left" w:pos="220"/>
        </w:tabs>
        <w:snapToGrid w:val="0"/>
        <w:spacing w:line="360" w:lineRule="auto"/>
        <w:ind w:firstLine="480" w:firstLineChars="200"/>
        <w:rPr>
          <w:rFonts w:hint="eastAsia" w:cs="仿宋"/>
          <w:highlight w:val="none"/>
        </w:rPr>
      </w:pPr>
      <w:r>
        <w:rPr>
          <w:rFonts w:hint="eastAsia" w:cs="仿宋"/>
          <w:highlight w:val="none"/>
        </w:rPr>
        <w:t>（18）法律法规或投标人须知前附表规定的其他情形。</w:t>
      </w:r>
    </w:p>
    <w:p w14:paraId="1FBBADFE">
      <w:pPr>
        <w:pStyle w:val="59"/>
        <w:shd w:val="clear"/>
        <w:ind w:left="851" w:leftChars="0" w:hanging="851" w:firstLineChars="0"/>
        <w:outlineLvl w:val="1"/>
        <w:rPr>
          <w:highlight w:val="none"/>
        </w:rPr>
      </w:pPr>
      <w:bookmarkStart w:id="55" w:name="_Toc506105823"/>
      <w:bookmarkStart w:id="56" w:name="_Toc507936018"/>
      <w:bookmarkStart w:id="57" w:name="_Toc29336"/>
      <w:r>
        <w:rPr>
          <w:rFonts w:hint="eastAsia"/>
          <w:highlight w:val="none"/>
        </w:rPr>
        <w:t>1.5 费用承担</w:t>
      </w:r>
      <w:bookmarkEnd w:id="55"/>
      <w:bookmarkEnd w:id="56"/>
      <w:bookmarkEnd w:id="57"/>
    </w:p>
    <w:p w14:paraId="7E8D28C5">
      <w:pPr>
        <w:shd w:val="clear"/>
        <w:ind w:firstLine="480" w:firstLineChars="200"/>
        <w:rPr>
          <w:rFonts w:cs="仿宋"/>
          <w:highlight w:val="none"/>
        </w:rPr>
      </w:pPr>
      <w:r>
        <w:rPr>
          <w:rFonts w:hint="eastAsia"/>
          <w:highlight w:val="none"/>
        </w:rPr>
        <w:t>投标人</w:t>
      </w:r>
      <w:r>
        <w:rPr>
          <w:rFonts w:hint="eastAsia" w:cs="仿宋"/>
          <w:highlight w:val="none"/>
        </w:rPr>
        <w:t>准备和参加招标活动发生的费用自理。</w:t>
      </w:r>
    </w:p>
    <w:p w14:paraId="3341DF20">
      <w:pPr>
        <w:pStyle w:val="59"/>
        <w:shd w:val="clear"/>
        <w:ind w:left="851" w:leftChars="0" w:hanging="851" w:firstLineChars="0"/>
        <w:outlineLvl w:val="1"/>
        <w:rPr>
          <w:highlight w:val="none"/>
        </w:rPr>
      </w:pPr>
      <w:bookmarkStart w:id="58" w:name="_Toc12325"/>
      <w:bookmarkStart w:id="59" w:name="_Toc506105824"/>
      <w:bookmarkStart w:id="60" w:name="_Toc507936019"/>
      <w:r>
        <w:rPr>
          <w:rFonts w:hint="eastAsia"/>
          <w:highlight w:val="none"/>
        </w:rPr>
        <w:t>1.6 保密</w:t>
      </w:r>
      <w:bookmarkEnd w:id="58"/>
      <w:bookmarkEnd w:id="59"/>
      <w:bookmarkEnd w:id="60"/>
    </w:p>
    <w:p w14:paraId="43FEDD08">
      <w:pPr>
        <w:shd w:val="clear"/>
        <w:spacing w:line="360" w:lineRule="auto"/>
        <w:ind w:firstLine="480" w:firstLineChars="200"/>
        <w:rPr>
          <w:rFonts w:cs="仿宋"/>
          <w:highlight w:val="none"/>
        </w:rPr>
      </w:pPr>
      <w:r>
        <w:rPr>
          <w:rFonts w:hint="eastAsia" w:cs="仿宋"/>
          <w:highlight w:val="none"/>
        </w:rPr>
        <w:t>参与招标活动的各方应对招标文件和投标文件中的商业和技术等秘密保密，违者应对由此造成的后果承担法律责任。</w:t>
      </w:r>
    </w:p>
    <w:p w14:paraId="7E079F1C">
      <w:pPr>
        <w:pStyle w:val="59"/>
        <w:shd w:val="clear"/>
        <w:ind w:left="851" w:leftChars="0" w:hanging="851" w:firstLineChars="0"/>
        <w:outlineLvl w:val="1"/>
        <w:rPr>
          <w:highlight w:val="none"/>
        </w:rPr>
      </w:pPr>
      <w:bookmarkStart w:id="61" w:name="_Toc506105825"/>
      <w:bookmarkStart w:id="62" w:name="_Toc23919"/>
      <w:bookmarkStart w:id="63" w:name="_Toc507936020"/>
      <w:r>
        <w:rPr>
          <w:rFonts w:hint="eastAsia"/>
          <w:highlight w:val="none"/>
        </w:rPr>
        <w:t>1.7 语言文字</w:t>
      </w:r>
      <w:bookmarkEnd w:id="61"/>
      <w:bookmarkEnd w:id="62"/>
      <w:bookmarkEnd w:id="63"/>
    </w:p>
    <w:p w14:paraId="7C1E32CE">
      <w:pPr>
        <w:shd w:val="clear"/>
        <w:spacing w:line="360" w:lineRule="auto"/>
        <w:ind w:firstLine="480" w:firstLineChars="200"/>
        <w:rPr>
          <w:rFonts w:cs="仿宋"/>
          <w:highlight w:val="none"/>
        </w:rPr>
      </w:pPr>
      <w:r>
        <w:rPr>
          <w:rFonts w:hint="eastAsia" w:cs="仿宋"/>
          <w:highlight w:val="none"/>
        </w:rPr>
        <w:t>除专用术语外，与招标有关的语言均使用中文，必要时专用术语应附有中文注释。</w:t>
      </w:r>
    </w:p>
    <w:p w14:paraId="11CE9960">
      <w:pPr>
        <w:pStyle w:val="59"/>
        <w:shd w:val="clear"/>
        <w:ind w:left="851" w:leftChars="0" w:hanging="851" w:firstLineChars="0"/>
        <w:outlineLvl w:val="1"/>
        <w:rPr>
          <w:highlight w:val="none"/>
        </w:rPr>
      </w:pPr>
      <w:bookmarkStart w:id="64" w:name="_Toc507936021"/>
      <w:bookmarkStart w:id="65" w:name="_Toc506105826"/>
      <w:bookmarkStart w:id="66" w:name="_Toc29551"/>
      <w:r>
        <w:rPr>
          <w:rFonts w:hint="eastAsia"/>
          <w:highlight w:val="none"/>
        </w:rPr>
        <w:t>1.8 计量单位</w:t>
      </w:r>
      <w:bookmarkEnd w:id="64"/>
      <w:bookmarkEnd w:id="65"/>
      <w:bookmarkEnd w:id="66"/>
    </w:p>
    <w:p w14:paraId="0C48C376">
      <w:pPr>
        <w:shd w:val="clear"/>
        <w:spacing w:line="360" w:lineRule="auto"/>
        <w:ind w:firstLine="480" w:firstLineChars="200"/>
        <w:rPr>
          <w:rFonts w:cs="仿宋"/>
          <w:highlight w:val="none"/>
        </w:rPr>
      </w:pPr>
      <w:r>
        <w:rPr>
          <w:rFonts w:hint="eastAsia" w:cs="仿宋"/>
          <w:highlight w:val="none"/>
        </w:rPr>
        <w:t>所有计量均采用中华人民共和国法定计量单位。</w:t>
      </w:r>
    </w:p>
    <w:p w14:paraId="0F843872">
      <w:pPr>
        <w:pStyle w:val="59"/>
        <w:shd w:val="clear"/>
        <w:ind w:left="851" w:leftChars="0" w:hanging="851" w:firstLineChars="0"/>
        <w:outlineLvl w:val="1"/>
        <w:rPr>
          <w:highlight w:val="none"/>
        </w:rPr>
      </w:pPr>
      <w:bookmarkStart w:id="67" w:name="_Toc10434"/>
      <w:bookmarkStart w:id="68" w:name="_Toc506105827"/>
      <w:bookmarkStart w:id="69" w:name="_Toc507936022"/>
      <w:r>
        <w:rPr>
          <w:rFonts w:hint="eastAsia"/>
          <w:highlight w:val="none"/>
        </w:rPr>
        <w:t>1.9 踏勘现场</w:t>
      </w:r>
      <w:bookmarkEnd w:id="67"/>
      <w:bookmarkEnd w:id="68"/>
      <w:bookmarkEnd w:id="69"/>
    </w:p>
    <w:p w14:paraId="146F896A">
      <w:pPr>
        <w:shd w:val="clear"/>
        <w:spacing w:line="360" w:lineRule="auto"/>
        <w:ind w:firstLine="480" w:firstLineChars="200"/>
        <w:rPr>
          <w:rStyle w:val="96"/>
          <w:highlight w:val="none"/>
        </w:rPr>
      </w:pPr>
      <w:r>
        <w:rPr>
          <w:rFonts w:hint="eastAsia" w:cs="仿宋"/>
          <w:highlight w:val="none"/>
        </w:rPr>
        <w:t>1.9.1详见投标人须知前附表</w:t>
      </w:r>
    </w:p>
    <w:p w14:paraId="7E452471">
      <w:pPr>
        <w:pStyle w:val="59"/>
        <w:shd w:val="clear"/>
        <w:ind w:left="851" w:leftChars="0" w:hanging="851" w:firstLineChars="0"/>
        <w:outlineLvl w:val="1"/>
        <w:rPr>
          <w:highlight w:val="none"/>
        </w:rPr>
      </w:pPr>
      <w:bookmarkStart w:id="70" w:name="_Toc506105828"/>
      <w:bookmarkStart w:id="71" w:name="_Toc507936023"/>
      <w:bookmarkStart w:id="72" w:name="_Toc28677"/>
      <w:r>
        <w:rPr>
          <w:rFonts w:hint="eastAsia"/>
          <w:highlight w:val="none"/>
        </w:rPr>
        <w:t>1.10 招标预备会</w:t>
      </w:r>
      <w:bookmarkEnd w:id="70"/>
      <w:bookmarkEnd w:id="71"/>
      <w:bookmarkEnd w:id="72"/>
    </w:p>
    <w:p w14:paraId="7EDA1F42">
      <w:pPr>
        <w:shd w:val="clear"/>
        <w:spacing w:line="360" w:lineRule="auto"/>
        <w:ind w:firstLine="480" w:firstLineChars="200"/>
        <w:rPr>
          <w:rFonts w:hint="eastAsia" w:cs="仿宋"/>
          <w:highlight w:val="none"/>
        </w:rPr>
      </w:pPr>
      <w:r>
        <w:rPr>
          <w:rFonts w:hint="eastAsia" w:cs="仿宋"/>
          <w:highlight w:val="none"/>
        </w:rPr>
        <w:t>1.10.1招标人不召开招标预备会。</w:t>
      </w:r>
    </w:p>
    <w:p w14:paraId="607806AF">
      <w:pPr>
        <w:pStyle w:val="59"/>
        <w:shd w:val="clear"/>
        <w:ind w:left="851" w:leftChars="0" w:hanging="851" w:firstLineChars="0"/>
        <w:outlineLvl w:val="1"/>
        <w:rPr>
          <w:rFonts w:hint="eastAsia"/>
          <w:highlight w:val="none"/>
        </w:rPr>
      </w:pPr>
      <w:bookmarkStart w:id="73" w:name="_Toc15608"/>
      <w:r>
        <w:rPr>
          <w:rFonts w:hint="eastAsia"/>
          <w:highlight w:val="none"/>
        </w:rPr>
        <w:t>1.11响应和偏差</w:t>
      </w:r>
      <w:bookmarkEnd w:id="73"/>
    </w:p>
    <w:p w14:paraId="36248DBF">
      <w:pPr>
        <w:shd w:val="clear"/>
        <w:spacing w:line="360" w:lineRule="auto"/>
        <w:ind w:firstLine="480" w:firstLineChars="200"/>
        <w:rPr>
          <w:rFonts w:hint="eastAsia" w:cs="仿宋"/>
          <w:highlight w:val="none"/>
        </w:rPr>
      </w:pPr>
      <w:r>
        <w:rPr>
          <w:rFonts w:hint="eastAsia" w:cs="仿宋"/>
          <w:highlight w:val="none"/>
        </w:rPr>
        <w:t>1.11.1投标文件应当对招标文件的实质性要求和条件作出满足性或更有利于招标人的响应，否则，投标人的投标将被否决。实质性要求和条件见投标人须知前附表。</w:t>
      </w:r>
    </w:p>
    <w:p w14:paraId="104E678D">
      <w:pPr>
        <w:shd w:val="clear"/>
        <w:spacing w:line="360" w:lineRule="auto"/>
        <w:ind w:firstLine="480" w:firstLineChars="200"/>
        <w:rPr>
          <w:rFonts w:hint="eastAsia" w:cs="仿宋"/>
          <w:highlight w:val="none"/>
        </w:rPr>
      </w:pPr>
      <w:r>
        <w:rPr>
          <w:rFonts w:hint="eastAsia" w:cs="仿宋"/>
          <w:highlight w:val="none"/>
        </w:rPr>
        <w:t>1.11.2投标人应根据招标文件的要求提供投标设备技术性能指标的详细描述、技术支持资料及技术服务和质保期服务计划等内容以对招标文件作出响应。</w:t>
      </w:r>
    </w:p>
    <w:p w14:paraId="7E09B73A">
      <w:pPr>
        <w:shd w:val="clear"/>
        <w:spacing w:line="360" w:lineRule="auto"/>
        <w:ind w:firstLine="480" w:firstLineChars="200"/>
        <w:rPr>
          <w:rFonts w:hint="eastAsia" w:cs="仿宋"/>
          <w:highlight w:val="none"/>
        </w:rPr>
      </w:pPr>
      <w:r>
        <w:rPr>
          <w:rFonts w:hint="eastAsia" w:cs="仿宋"/>
          <w:highlight w:val="none"/>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4529D077">
      <w:pPr>
        <w:shd w:val="clear"/>
        <w:spacing w:line="360" w:lineRule="auto"/>
        <w:ind w:firstLine="480" w:firstLineChars="200"/>
        <w:rPr>
          <w:rFonts w:hint="eastAsia" w:cs="仿宋"/>
          <w:highlight w:val="none"/>
        </w:rPr>
      </w:pPr>
      <w:r>
        <w:rPr>
          <w:rFonts w:hint="eastAsia" w:cs="仿宋"/>
          <w:highlight w:val="none"/>
        </w:rPr>
        <w:t>1.11.4投标人须知前附表规定了可以偏差的范围和最高偏差项数的，偏差应当符合投标人须知前附表规定的偏差范围和最高项数，超出偏差范围和最高偏差项数的投标将被否决。</w:t>
      </w:r>
    </w:p>
    <w:p w14:paraId="48356528">
      <w:pPr>
        <w:shd w:val="clear"/>
        <w:spacing w:line="360" w:lineRule="auto"/>
        <w:ind w:firstLine="480" w:firstLineChars="200"/>
        <w:rPr>
          <w:rFonts w:hint="eastAsia" w:cs="仿宋"/>
          <w:highlight w:val="none"/>
        </w:rPr>
      </w:pPr>
      <w:r>
        <w:rPr>
          <w:rFonts w:hint="eastAsia" w:cs="仿宋"/>
          <w:highlight w:val="none"/>
        </w:rPr>
        <w:t>1.11.5投标文件对招标文件的全部偏差，均应在投标文件的商务和技术偏差表中列明，除列明的内容外，视为投标人响应招标文件的全部要求。</w:t>
      </w:r>
    </w:p>
    <w:p w14:paraId="57EED84E">
      <w:pPr>
        <w:pStyle w:val="64"/>
        <w:shd w:val="clear"/>
        <w:ind w:left="851" w:leftChars="0" w:hanging="851" w:firstLineChars="0"/>
        <w:outlineLvl w:val="0"/>
        <w:rPr>
          <w:rStyle w:val="96"/>
          <w:b/>
          <w:bCs/>
          <w:highlight w:val="none"/>
        </w:rPr>
      </w:pPr>
      <w:bookmarkStart w:id="74" w:name="_Toc9367"/>
      <w:bookmarkStart w:id="75" w:name="_Toc507936024"/>
      <w:r>
        <w:rPr>
          <w:rStyle w:val="96"/>
          <w:rFonts w:hint="eastAsia"/>
          <w:b/>
          <w:bCs/>
          <w:highlight w:val="none"/>
        </w:rPr>
        <w:t>2.招标文件</w:t>
      </w:r>
      <w:bookmarkEnd w:id="74"/>
      <w:bookmarkEnd w:id="75"/>
    </w:p>
    <w:p w14:paraId="615960B9">
      <w:pPr>
        <w:pStyle w:val="59"/>
        <w:shd w:val="clear"/>
        <w:ind w:left="851" w:leftChars="0" w:hanging="851" w:firstLineChars="0"/>
        <w:outlineLvl w:val="1"/>
        <w:rPr>
          <w:highlight w:val="none"/>
        </w:rPr>
      </w:pPr>
      <w:bookmarkStart w:id="76" w:name="_Toc507936025"/>
      <w:bookmarkStart w:id="77" w:name="_Toc506105830"/>
      <w:bookmarkStart w:id="78" w:name="_Toc7751"/>
      <w:r>
        <w:rPr>
          <w:rFonts w:hint="eastAsia"/>
          <w:highlight w:val="none"/>
        </w:rPr>
        <w:t>2.1 招标文件的内容</w:t>
      </w:r>
      <w:bookmarkEnd w:id="76"/>
      <w:bookmarkEnd w:id="77"/>
      <w:r>
        <w:rPr>
          <w:rFonts w:hint="eastAsia"/>
          <w:highlight w:val="none"/>
        </w:rPr>
        <w:t>和发布</w:t>
      </w:r>
      <w:bookmarkEnd w:id="78"/>
    </w:p>
    <w:p w14:paraId="62C62653">
      <w:pPr>
        <w:shd w:val="clear"/>
        <w:spacing w:line="360" w:lineRule="auto"/>
        <w:ind w:firstLine="480" w:firstLineChars="200"/>
        <w:rPr>
          <w:rFonts w:cs="仿宋"/>
          <w:highlight w:val="none"/>
        </w:rPr>
      </w:pPr>
      <w:r>
        <w:rPr>
          <w:rFonts w:hint="eastAsia" w:cs="仿宋"/>
          <w:highlight w:val="none"/>
        </w:rPr>
        <w:t>2.1.1招标文件包括：</w:t>
      </w:r>
    </w:p>
    <w:p w14:paraId="539975EA">
      <w:pPr>
        <w:shd w:val="clear"/>
        <w:spacing w:line="360" w:lineRule="auto"/>
        <w:ind w:firstLine="480" w:firstLineChars="200"/>
        <w:rPr>
          <w:rFonts w:cs="仿宋"/>
          <w:highlight w:val="none"/>
        </w:rPr>
      </w:pPr>
      <w:r>
        <w:rPr>
          <w:rFonts w:hint="eastAsia" w:cs="仿宋"/>
          <w:highlight w:val="none"/>
        </w:rPr>
        <w:t>（1）招标公告</w:t>
      </w:r>
    </w:p>
    <w:p w14:paraId="62F73D1F">
      <w:pPr>
        <w:shd w:val="clear"/>
        <w:spacing w:line="360" w:lineRule="auto"/>
        <w:ind w:firstLine="480" w:firstLineChars="200"/>
        <w:rPr>
          <w:rFonts w:cs="仿宋"/>
          <w:highlight w:val="none"/>
        </w:rPr>
      </w:pPr>
      <w:r>
        <w:rPr>
          <w:rFonts w:hint="eastAsia" w:cs="仿宋"/>
          <w:highlight w:val="none"/>
        </w:rPr>
        <w:t>（2）招标人须知</w:t>
      </w:r>
    </w:p>
    <w:p w14:paraId="3A5C13D4">
      <w:pPr>
        <w:shd w:val="clear"/>
        <w:spacing w:line="360" w:lineRule="auto"/>
        <w:ind w:firstLine="480" w:firstLineChars="200"/>
        <w:rPr>
          <w:rFonts w:cs="仿宋"/>
          <w:highlight w:val="none"/>
        </w:rPr>
      </w:pPr>
      <w:r>
        <w:rPr>
          <w:rFonts w:hint="eastAsia" w:cs="仿宋"/>
          <w:highlight w:val="none"/>
        </w:rPr>
        <w:t>（3）评标办法</w:t>
      </w:r>
    </w:p>
    <w:p w14:paraId="24EB1122">
      <w:pPr>
        <w:shd w:val="clear"/>
        <w:spacing w:line="360" w:lineRule="auto"/>
        <w:ind w:firstLine="480" w:firstLineChars="200"/>
        <w:rPr>
          <w:rFonts w:cs="仿宋"/>
          <w:highlight w:val="none"/>
        </w:rPr>
      </w:pPr>
      <w:r>
        <w:rPr>
          <w:rFonts w:hint="eastAsia" w:cs="仿宋"/>
          <w:highlight w:val="none"/>
        </w:rPr>
        <w:t>（4）合同及附件</w:t>
      </w:r>
    </w:p>
    <w:p w14:paraId="6E559B4E">
      <w:pPr>
        <w:shd w:val="clear"/>
        <w:spacing w:line="360" w:lineRule="auto"/>
        <w:ind w:firstLine="480" w:firstLineChars="200"/>
        <w:rPr>
          <w:rFonts w:cs="仿宋"/>
          <w:highlight w:val="none"/>
        </w:rPr>
      </w:pPr>
      <w:r>
        <w:rPr>
          <w:rFonts w:hint="eastAsia" w:cs="仿宋"/>
          <w:highlight w:val="none"/>
        </w:rPr>
        <w:t>（5）投标文件格式及内容</w:t>
      </w:r>
    </w:p>
    <w:p w14:paraId="52E022D0">
      <w:pPr>
        <w:shd w:val="clear"/>
        <w:spacing w:line="360" w:lineRule="auto"/>
        <w:ind w:firstLine="480" w:firstLineChars="200"/>
        <w:rPr>
          <w:rFonts w:cs="仿宋"/>
          <w:highlight w:val="none"/>
        </w:rPr>
      </w:pPr>
      <w:r>
        <w:rPr>
          <w:rFonts w:hint="eastAsia" w:cs="仿宋"/>
          <w:highlight w:val="none"/>
        </w:rPr>
        <w:t>（6）需求一览表</w:t>
      </w:r>
    </w:p>
    <w:p w14:paraId="4D0F90F8">
      <w:pPr>
        <w:shd w:val="clear"/>
        <w:spacing w:line="360" w:lineRule="auto"/>
        <w:ind w:firstLine="480" w:firstLineChars="200"/>
        <w:rPr>
          <w:rFonts w:hint="eastAsia" w:cs="仿宋"/>
          <w:highlight w:val="none"/>
        </w:rPr>
      </w:pPr>
      <w:r>
        <w:rPr>
          <w:rFonts w:hint="eastAsia" w:cs="仿宋"/>
          <w:highlight w:val="none"/>
        </w:rPr>
        <w:t>（7）技术规范</w:t>
      </w:r>
    </w:p>
    <w:p w14:paraId="4A7B3838">
      <w:pPr>
        <w:shd w:val="clear"/>
        <w:spacing w:line="360" w:lineRule="auto"/>
        <w:ind w:firstLine="480" w:firstLineChars="200"/>
        <w:rPr>
          <w:rFonts w:cs="仿宋"/>
          <w:highlight w:val="none"/>
        </w:rPr>
      </w:pPr>
      <w:r>
        <w:rPr>
          <w:rFonts w:hint="eastAsia" w:cs="仿宋"/>
          <w:highlight w:val="none"/>
        </w:rPr>
        <w:t>（8）</w:t>
      </w:r>
      <w:r>
        <w:rPr>
          <w:rFonts w:hint="eastAsia"/>
          <w:highlight w:val="none"/>
        </w:rPr>
        <w:t>投标人须知前附表规定的其他材料</w:t>
      </w:r>
    </w:p>
    <w:p w14:paraId="4A6EFD1D">
      <w:pPr>
        <w:shd w:val="clear"/>
        <w:spacing w:line="360" w:lineRule="auto"/>
        <w:ind w:firstLine="480" w:firstLineChars="200"/>
        <w:rPr>
          <w:rFonts w:cs="仿宋"/>
          <w:highlight w:val="none"/>
        </w:rPr>
      </w:pPr>
      <w:r>
        <w:rPr>
          <w:rFonts w:hint="eastAsia" w:cs="仿宋"/>
          <w:highlight w:val="none"/>
        </w:rPr>
        <w:t>根据本章第1.10款、第2.2款和第2.3款对招标文件所作的澄清、修改，构成招标文件的组成部分。</w:t>
      </w:r>
    </w:p>
    <w:p w14:paraId="28D77EB5">
      <w:pPr>
        <w:shd w:val="clear"/>
        <w:spacing w:line="360" w:lineRule="auto"/>
        <w:ind w:firstLine="480" w:firstLineChars="200"/>
        <w:rPr>
          <w:rFonts w:hint="eastAsia" w:cs="仿宋"/>
          <w:highlight w:val="none"/>
        </w:rPr>
      </w:pPr>
      <w:r>
        <w:rPr>
          <w:rFonts w:hint="eastAsia" w:cs="仿宋"/>
          <w:highlight w:val="none"/>
        </w:rPr>
        <w:t>2.1.2若招标文件中不同章节对同一内容叙述有差异的，性能、参数以技术要求为准；投标人资格要求、交货期、交货地点、质保期以</w:t>
      </w:r>
      <w:r>
        <w:rPr>
          <w:rFonts w:hint="eastAsia"/>
          <w:highlight w:val="none"/>
        </w:rPr>
        <w:t>投标人须知前附表</w:t>
      </w:r>
      <w:r>
        <w:rPr>
          <w:rFonts w:hint="eastAsia" w:cs="仿宋"/>
          <w:highlight w:val="none"/>
        </w:rPr>
        <w:t>为准。</w:t>
      </w:r>
    </w:p>
    <w:p w14:paraId="70291C2C">
      <w:pPr>
        <w:pStyle w:val="2"/>
        <w:shd w:val="clear"/>
        <w:spacing w:line="360" w:lineRule="auto"/>
        <w:ind w:left="0" w:leftChars="0" w:firstLine="480"/>
        <w:rPr>
          <w:rFonts w:ascii="宋体" w:hAnsi="宋体" w:cs="仿宋"/>
          <w:highlight w:val="none"/>
        </w:rPr>
      </w:pPr>
      <w:r>
        <w:rPr>
          <w:rFonts w:hint="eastAsia" w:ascii="宋体" w:hAnsi="宋体" w:cs="仿宋"/>
          <w:highlight w:val="none"/>
        </w:rPr>
        <w:t>2.1.3本招标文件在济钢集团有限公司阳光购销平台（网址：</w:t>
      </w:r>
      <w:r>
        <w:rPr>
          <w:rFonts w:hint="eastAsia" w:ascii="宋体" w:hAnsi="宋体" w:cs="仿宋"/>
          <w:highlight w:val="none"/>
        </w:rPr>
        <w:fldChar w:fldCharType="begin"/>
      </w:r>
      <w:r>
        <w:rPr>
          <w:rFonts w:hint="eastAsia" w:ascii="宋体" w:hAnsi="宋体" w:cs="仿宋"/>
          <w:highlight w:val="none"/>
        </w:rPr>
        <w:instrText xml:space="preserve"> HYPERLINK "http://bidding.jigang.com.cn" </w:instrText>
      </w:r>
      <w:r>
        <w:rPr>
          <w:rFonts w:hint="eastAsia" w:ascii="宋体" w:hAnsi="宋体" w:cs="仿宋"/>
          <w:highlight w:val="none"/>
        </w:rPr>
        <w:fldChar w:fldCharType="separate"/>
      </w:r>
      <w:r>
        <w:rPr>
          <w:rFonts w:hint="eastAsia" w:ascii="宋体" w:hAnsi="宋体" w:cs="仿宋"/>
          <w:highlight w:val="none"/>
        </w:rPr>
        <w:t>http://bidding.jigang.com.cn</w:t>
      </w:r>
      <w:r>
        <w:rPr>
          <w:rFonts w:hint="eastAsia" w:ascii="宋体" w:hAnsi="宋体" w:cs="仿宋"/>
          <w:highlight w:val="none"/>
        </w:rPr>
        <w:fldChar w:fldCharType="end"/>
      </w:r>
      <w:r>
        <w:rPr>
          <w:rFonts w:hint="eastAsia" w:ascii="宋体" w:hAnsi="宋体" w:cs="仿宋"/>
          <w:highlight w:val="none"/>
        </w:rPr>
        <w:t>/） 上发布。除上述媒介以外的媒介转载或发布与本次招标相关信息的，招标人不承担任何责任并保留追究相关方责任的权利。</w:t>
      </w:r>
    </w:p>
    <w:p w14:paraId="2FF82DB6">
      <w:pPr>
        <w:pStyle w:val="59"/>
        <w:shd w:val="clear"/>
        <w:ind w:left="851" w:leftChars="0" w:hanging="851" w:firstLineChars="0"/>
        <w:outlineLvl w:val="1"/>
        <w:rPr>
          <w:highlight w:val="none"/>
        </w:rPr>
      </w:pPr>
      <w:bookmarkStart w:id="79" w:name="_Toc506105831"/>
      <w:bookmarkStart w:id="80" w:name="_Toc507936026"/>
      <w:bookmarkStart w:id="81" w:name="_Toc3008"/>
      <w:r>
        <w:rPr>
          <w:rFonts w:hint="eastAsia"/>
          <w:highlight w:val="none"/>
        </w:rPr>
        <w:t>2.2 招标文件的澄清</w:t>
      </w:r>
      <w:bookmarkEnd w:id="79"/>
      <w:bookmarkEnd w:id="80"/>
      <w:bookmarkEnd w:id="81"/>
    </w:p>
    <w:p w14:paraId="4B1D1600">
      <w:pPr>
        <w:shd w:val="clear"/>
        <w:spacing w:line="360" w:lineRule="auto"/>
        <w:ind w:firstLine="480" w:firstLineChars="200"/>
        <w:rPr>
          <w:rFonts w:cs="仿宋"/>
          <w:highlight w:val="none"/>
        </w:rPr>
      </w:pPr>
      <w:r>
        <w:rPr>
          <w:rFonts w:hint="eastAsia" w:cs="仿宋"/>
          <w:highlight w:val="none"/>
        </w:rPr>
        <w:t>2.2.1投标人应仔细阅读和检查招标文件的全部内容。如发现缺页或者附件不全，应及时向招标人提出，以便补齐。</w:t>
      </w:r>
    </w:p>
    <w:p w14:paraId="1A03BF9B">
      <w:pPr>
        <w:shd w:val="clear"/>
        <w:spacing w:line="360" w:lineRule="auto"/>
        <w:ind w:firstLine="480" w:firstLineChars="200"/>
        <w:rPr>
          <w:rFonts w:hint="eastAsia"/>
          <w:highlight w:val="none"/>
        </w:rPr>
      </w:pPr>
      <w:r>
        <w:rPr>
          <w:rFonts w:hint="eastAsia" w:cs="仿宋"/>
          <w:highlight w:val="none"/>
        </w:rPr>
        <w:t>2.2.2招标文件的澄清：详见投标人须知前附表</w:t>
      </w:r>
    </w:p>
    <w:p w14:paraId="3E8F1FBE">
      <w:pPr>
        <w:pStyle w:val="59"/>
        <w:shd w:val="clear"/>
        <w:ind w:left="851" w:leftChars="0" w:hanging="851" w:firstLineChars="0"/>
        <w:outlineLvl w:val="1"/>
        <w:rPr>
          <w:rFonts w:hint="eastAsia"/>
          <w:highlight w:val="none"/>
        </w:rPr>
      </w:pPr>
      <w:bookmarkStart w:id="82" w:name="_Toc506105832"/>
      <w:bookmarkStart w:id="83" w:name="_Toc12074"/>
      <w:bookmarkStart w:id="84" w:name="_Toc507936027"/>
      <w:r>
        <w:rPr>
          <w:rFonts w:hint="eastAsia"/>
          <w:highlight w:val="none"/>
        </w:rPr>
        <w:t>2.3 招标文件的修改</w:t>
      </w:r>
      <w:bookmarkEnd w:id="82"/>
      <w:bookmarkEnd w:id="83"/>
      <w:bookmarkEnd w:id="84"/>
    </w:p>
    <w:p w14:paraId="6A3C7DF2">
      <w:pPr>
        <w:shd w:val="clear"/>
        <w:spacing w:line="360" w:lineRule="auto"/>
        <w:ind w:firstLine="480" w:firstLineChars="200"/>
        <w:rPr>
          <w:rFonts w:hint="eastAsia" w:cs="仿宋"/>
          <w:highlight w:val="none"/>
        </w:rPr>
      </w:pPr>
      <w:r>
        <w:rPr>
          <w:rFonts w:hint="eastAsia" w:cs="仿宋"/>
          <w:highlight w:val="none"/>
        </w:rPr>
        <w:t>详见投标人须知前附表</w:t>
      </w:r>
    </w:p>
    <w:p w14:paraId="5863029F">
      <w:pPr>
        <w:pStyle w:val="59"/>
        <w:shd w:val="clear"/>
        <w:ind w:left="851" w:leftChars="0" w:hanging="851" w:firstLineChars="0"/>
        <w:outlineLvl w:val="1"/>
        <w:rPr>
          <w:highlight w:val="none"/>
        </w:rPr>
      </w:pPr>
      <w:bookmarkStart w:id="85" w:name="_Toc506105833"/>
      <w:bookmarkStart w:id="86" w:name="_Toc507936028"/>
      <w:bookmarkStart w:id="87" w:name="_Toc20245"/>
      <w:r>
        <w:rPr>
          <w:rFonts w:hint="eastAsia"/>
          <w:highlight w:val="none"/>
        </w:rPr>
        <w:t>2.4对招标文件的异议</w:t>
      </w:r>
      <w:bookmarkEnd w:id="85"/>
      <w:bookmarkEnd w:id="86"/>
      <w:bookmarkEnd w:id="87"/>
    </w:p>
    <w:p w14:paraId="464E6A8A">
      <w:pPr>
        <w:shd w:val="clear"/>
        <w:spacing w:line="360" w:lineRule="auto"/>
        <w:ind w:firstLine="480" w:firstLineChars="200"/>
        <w:rPr>
          <w:rFonts w:hint="eastAsia" w:cs="仿宋"/>
          <w:highlight w:val="none"/>
        </w:rPr>
      </w:pPr>
      <w:r>
        <w:rPr>
          <w:rFonts w:hint="eastAsia" w:cs="仿宋"/>
          <w:highlight w:val="none"/>
        </w:rPr>
        <w:t>投标人对招标文件有异议的，应当在递交投标文件截止之日7天前提出。招标人自收到异议之日起3日内做出答复；若异议和答复内容影响招标文件编制的，按照本章第2.3款的规定相应延长开标时间。</w:t>
      </w:r>
    </w:p>
    <w:p w14:paraId="0894AADA">
      <w:pPr>
        <w:shd w:val="clear"/>
        <w:spacing w:line="360" w:lineRule="auto"/>
        <w:jc w:val="center"/>
        <w:outlineLvl w:val="0"/>
        <w:rPr>
          <w:rStyle w:val="96"/>
          <w:rFonts w:hint="eastAsia"/>
          <w:highlight w:val="none"/>
        </w:rPr>
      </w:pPr>
      <w:bookmarkStart w:id="88" w:name="_Toc10186"/>
      <w:r>
        <w:rPr>
          <w:rStyle w:val="96"/>
          <w:rFonts w:hint="eastAsia"/>
          <w:highlight w:val="none"/>
        </w:rPr>
        <w:t>3、投标文件</w:t>
      </w:r>
      <w:bookmarkEnd w:id="88"/>
    </w:p>
    <w:p w14:paraId="178E2034">
      <w:pPr>
        <w:pStyle w:val="59"/>
        <w:shd w:val="clear"/>
        <w:ind w:left="851" w:leftChars="0" w:hanging="851" w:firstLineChars="0"/>
        <w:outlineLvl w:val="1"/>
        <w:rPr>
          <w:highlight w:val="none"/>
        </w:rPr>
      </w:pPr>
      <w:bookmarkStart w:id="89" w:name="_Toc507936029"/>
      <w:bookmarkStart w:id="90" w:name="_Toc12156"/>
      <w:bookmarkStart w:id="91" w:name="_Toc506105835"/>
      <w:r>
        <w:rPr>
          <w:rFonts w:hint="eastAsia"/>
          <w:highlight w:val="none"/>
        </w:rPr>
        <w:t>3.1 投标文件的组成</w:t>
      </w:r>
      <w:bookmarkEnd w:id="89"/>
      <w:bookmarkEnd w:id="90"/>
      <w:bookmarkEnd w:id="91"/>
    </w:p>
    <w:p w14:paraId="3D4F95FB">
      <w:pPr>
        <w:shd w:val="clear"/>
        <w:spacing w:line="360" w:lineRule="auto"/>
        <w:ind w:firstLine="480" w:firstLineChars="200"/>
        <w:outlineLvl w:val="2"/>
        <w:rPr>
          <w:rFonts w:cs="仿宋"/>
          <w:highlight w:val="none"/>
        </w:rPr>
      </w:pPr>
      <w:bookmarkStart w:id="92" w:name="_Toc29029"/>
      <w:r>
        <w:rPr>
          <w:rFonts w:hint="eastAsia" w:cs="仿宋"/>
          <w:highlight w:val="none"/>
        </w:rPr>
        <w:t>3.1.1投标文件包括下列内容：</w:t>
      </w:r>
      <w:bookmarkEnd w:id="92"/>
    </w:p>
    <w:p w14:paraId="3CF86DD1">
      <w:pPr>
        <w:shd w:val="clear"/>
        <w:spacing w:line="360" w:lineRule="auto"/>
        <w:ind w:firstLine="480" w:firstLineChars="200"/>
        <w:outlineLvl w:val="3"/>
        <w:rPr>
          <w:rFonts w:cs="仿宋"/>
          <w:highlight w:val="none"/>
        </w:rPr>
      </w:pPr>
      <w:bookmarkStart w:id="93" w:name="_Toc13665"/>
      <w:r>
        <w:rPr>
          <w:rFonts w:hint="eastAsia" w:cs="仿宋"/>
          <w:highlight w:val="none"/>
        </w:rPr>
        <w:t>第一部分  商务部分</w:t>
      </w:r>
      <w:bookmarkEnd w:id="93"/>
    </w:p>
    <w:p w14:paraId="10B4213D">
      <w:pPr>
        <w:shd w:val="clear"/>
        <w:spacing w:line="360" w:lineRule="auto"/>
        <w:ind w:firstLine="480" w:firstLineChars="200"/>
        <w:rPr>
          <w:rFonts w:cs="仿宋"/>
          <w:highlight w:val="none"/>
        </w:rPr>
      </w:pPr>
      <w:r>
        <w:rPr>
          <w:rFonts w:hint="eastAsia" w:cs="仿宋"/>
          <w:highlight w:val="none"/>
        </w:rPr>
        <w:t>（1）报价函</w:t>
      </w:r>
    </w:p>
    <w:p w14:paraId="48C5ABB1">
      <w:pPr>
        <w:shd w:val="clear"/>
        <w:spacing w:line="360" w:lineRule="auto"/>
        <w:ind w:firstLine="480" w:firstLineChars="200"/>
        <w:rPr>
          <w:rFonts w:cs="仿宋"/>
          <w:highlight w:val="none"/>
        </w:rPr>
      </w:pPr>
      <w:r>
        <w:rPr>
          <w:rFonts w:hint="eastAsia" w:cs="仿宋"/>
          <w:highlight w:val="none"/>
        </w:rPr>
        <w:t>（2）授权委托书</w:t>
      </w:r>
    </w:p>
    <w:p w14:paraId="7F6825F1">
      <w:pPr>
        <w:shd w:val="clear"/>
        <w:spacing w:line="360" w:lineRule="auto"/>
        <w:ind w:firstLine="480" w:firstLineChars="200"/>
        <w:rPr>
          <w:rFonts w:cs="仿宋"/>
          <w:highlight w:val="none"/>
        </w:rPr>
      </w:pPr>
      <w:r>
        <w:rPr>
          <w:rFonts w:hint="eastAsia" w:cs="仿宋"/>
          <w:highlight w:val="none"/>
        </w:rPr>
        <w:t>（3）投标保证金</w:t>
      </w:r>
    </w:p>
    <w:p w14:paraId="4CBD487B">
      <w:pPr>
        <w:shd w:val="clear"/>
        <w:spacing w:line="360" w:lineRule="auto"/>
        <w:ind w:firstLine="480" w:firstLineChars="200"/>
        <w:rPr>
          <w:rFonts w:cs="仿宋"/>
          <w:highlight w:val="none"/>
        </w:rPr>
      </w:pPr>
      <w:r>
        <w:rPr>
          <w:rFonts w:hint="eastAsia" w:cs="仿宋"/>
          <w:highlight w:val="none"/>
        </w:rPr>
        <w:t>（4）资格审查资料</w:t>
      </w:r>
    </w:p>
    <w:p w14:paraId="289E8761">
      <w:pPr>
        <w:shd w:val="clear"/>
        <w:spacing w:line="360" w:lineRule="auto"/>
        <w:ind w:firstLine="480" w:firstLineChars="200"/>
        <w:rPr>
          <w:rFonts w:cs="仿宋"/>
          <w:highlight w:val="none"/>
        </w:rPr>
      </w:pPr>
      <w:r>
        <w:rPr>
          <w:rFonts w:hint="eastAsia" w:cs="仿宋"/>
          <w:highlight w:val="none"/>
        </w:rPr>
        <w:t>（5）报价表</w:t>
      </w:r>
    </w:p>
    <w:p w14:paraId="7D5821DE">
      <w:pPr>
        <w:shd w:val="clear"/>
        <w:spacing w:line="360" w:lineRule="auto"/>
        <w:ind w:firstLine="480" w:firstLineChars="200"/>
        <w:rPr>
          <w:rFonts w:cs="仿宋"/>
          <w:highlight w:val="none"/>
        </w:rPr>
      </w:pPr>
      <w:r>
        <w:rPr>
          <w:rFonts w:hint="eastAsia" w:cs="仿宋"/>
          <w:highlight w:val="none"/>
        </w:rPr>
        <w:t>（6）商务偏差表</w:t>
      </w:r>
    </w:p>
    <w:p w14:paraId="7CE7B2AE">
      <w:pPr>
        <w:shd w:val="clear"/>
        <w:spacing w:line="360" w:lineRule="auto"/>
        <w:ind w:firstLine="480" w:firstLineChars="200"/>
        <w:rPr>
          <w:rFonts w:cs="仿宋"/>
          <w:highlight w:val="none"/>
        </w:rPr>
      </w:pPr>
      <w:r>
        <w:rPr>
          <w:rFonts w:hint="eastAsia" w:cs="仿宋"/>
          <w:highlight w:val="none"/>
        </w:rPr>
        <w:t>（7）无行贿犯罪记录证明材料</w:t>
      </w:r>
    </w:p>
    <w:p w14:paraId="7D8B4E05">
      <w:pPr>
        <w:shd w:val="clear"/>
        <w:spacing w:line="360" w:lineRule="auto"/>
        <w:ind w:firstLine="480" w:firstLineChars="200"/>
        <w:rPr>
          <w:rFonts w:cs="仿宋"/>
          <w:highlight w:val="none"/>
        </w:rPr>
      </w:pPr>
      <w:r>
        <w:rPr>
          <w:rFonts w:hint="eastAsia" w:cs="仿宋"/>
          <w:highlight w:val="none"/>
        </w:rPr>
        <w:t>（8）投标人认为应补充的其它商务资料</w:t>
      </w:r>
    </w:p>
    <w:p w14:paraId="74C6F35A">
      <w:pPr>
        <w:shd w:val="clear"/>
        <w:spacing w:line="360" w:lineRule="auto"/>
        <w:ind w:firstLine="480" w:firstLineChars="200"/>
        <w:outlineLvl w:val="3"/>
        <w:rPr>
          <w:rFonts w:cs="仿宋"/>
          <w:highlight w:val="none"/>
        </w:rPr>
      </w:pPr>
      <w:bookmarkStart w:id="94" w:name="_Toc20021"/>
      <w:r>
        <w:rPr>
          <w:rFonts w:hint="eastAsia" w:cs="仿宋"/>
          <w:highlight w:val="none"/>
        </w:rPr>
        <w:t>第二部分  技术部分</w:t>
      </w:r>
      <w:bookmarkEnd w:id="94"/>
    </w:p>
    <w:p w14:paraId="4BA24828">
      <w:pPr>
        <w:shd w:val="clear"/>
        <w:spacing w:line="360" w:lineRule="auto"/>
        <w:ind w:left="480"/>
        <w:rPr>
          <w:rFonts w:cs="仿宋"/>
          <w:highlight w:val="none"/>
        </w:rPr>
      </w:pPr>
      <w:r>
        <w:rPr>
          <w:rFonts w:hint="eastAsia" w:cs="仿宋"/>
          <w:highlight w:val="none"/>
        </w:rPr>
        <w:t>（1）招标内容</w:t>
      </w:r>
    </w:p>
    <w:p w14:paraId="1C9B376E">
      <w:pPr>
        <w:shd w:val="clear"/>
        <w:spacing w:line="360" w:lineRule="auto"/>
        <w:ind w:left="480"/>
        <w:rPr>
          <w:rFonts w:cs="仿宋"/>
          <w:highlight w:val="none"/>
        </w:rPr>
      </w:pPr>
      <w:r>
        <w:rPr>
          <w:rFonts w:hint="eastAsia" w:cs="仿宋"/>
          <w:highlight w:val="none"/>
        </w:rPr>
        <w:t>（2）交货计划表</w:t>
      </w:r>
    </w:p>
    <w:p w14:paraId="2BDE18DA">
      <w:pPr>
        <w:shd w:val="clear"/>
        <w:spacing w:line="360" w:lineRule="auto"/>
        <w:ind w:left="480"/>
        <w:rPr>
          <w:rFonts w:cs="仿宋"/>
          <w:highlight w:val="none"/>
        </w:rPr>
      </w:pPr>
      <w:r>
        <w:rPr>
          <w:rFonts w:hint="eastAsia" w:cs="仿宋"/>
          <w:highlight w:val="none"/>
        </w:rPr>
        <w:t>（3）技术要求</w:t>
      </w:r>
    </w:p>
    <w:p w14:paraId="57A0D1C6">
      <w:pPr>
        <w:shd w:val="clear"/>
        <w:spacing w:line="360" w:lineRule="auto"/>
        <w:ind w:left="480"/>
        <w:rPr>
          <w:rFonts w:hint="eastAsia" w:cs="仿宋"/>
          <w:highlight w:val="none"/>
        </w:rPr>
      </w:pPr>
      <w:r>
        <w:rPr>
          <w:rFonts w:hint="eastAsia" w:cs="仿宋"/>
          <w:highlight w:val="none"/>
        </w:rPr>
        <w:t>（4）技术偏差表</w:t>
      </w:r>
    </w:p>
    <w:p w14:paraId="2E8E96AC">
      <w:pPr>
        <w:pStyle w:val="2"/>
        <w:shd w:val="clear"/>
        <w:ind w:left="0" w:leftChars="0" w:firstLine="480"/>
        <w:rPr>
          <w:highlight w:val="none"/>
        </w:rPr>
      </w:pPr>
      <w:r>
        <w:rPr>
          <w:rFonts w:hint="eastAsia" w:ascii="宋体" w:hAnsi="宋体" w:cs="仿宋"/>
          <w:highlight w:val="none"/>
        </w:rPr>
        <w:t>（5）</w:t>
      </w:r>
      <w:r>
        <w:rPr>
          <w:rFonts w:hint="eastAsia" w:cs="仿宋"/>
          <w:highlight w:val="none"/>
        </w:rPr>
        <w:t>投标人</w:t>
      </w:r>
      <w:r>
        <w:rPr>
          <w:rFonts w:hint="eastAsia" w:ascii="宋体" w:hAnsi="宋体" w:cs="仿宋"/>
          <w:highlight w:val="none"/>
        </w:rPr>
        <w:t>认为应补充的其它技术资料</w:t>
      </w:r>
    </w:p>
    <w:p w14:paraId="4FDDB30F">
      <w:pPr>
        <w:pStyle w:val="59"/>
        <w:shd w:val="clear"/>
        <w:ind w:left="851" w:leftChars="0" w:hanging="851" w:firstLineChars="0"/>
        <w:outlineLvl w:val="1"/>
        <w:rPr>
          <w:highlight w:val="none"/>
        </w:rPr>
      </w:pPr>
      <w:bookmarkStart w:id="95" w:name="_Toc506105836"/>
      <w:bookmarkStart w:id="96" w:name="_Toc406766394"/>
      <w:bookmarkStart w:id="97" w:name="_Toc507936030"/>
      <w:bookmarkStart w:id="98" w:name="_Toc3982"/>
      <w:r>
        <w:rPr>
          <w:rFonts w:hint="eastAsia"/>
          <w:highlight w:val="none"/>
        </w:rPr>
        <w:t>3.2 报价</w:t>
      </w:r>
      <w:bookmarkEnd w:id="95"/>
      <w:bookmarkEnd w:id="96"/>
      <w:bookmarkEnd w:id="97"/>
      <w:bookmarkEnd w:id="98"/>
    </w:p>
    <w:p w14:paraId="2A0CABBB">
      <w:pPr>
        <w:shd w:val="clear"/>
        <w:spacing w:line="360" w:lineRule="auto"/>
        <w:ind w:firstLine="480" w:firstLineChars="200"/>
        <w:rPr>
          <w:rFonts w:hint="eastAsia" w:cs="仿宋"/>
          <w:highlight w:val="none"/>
        </w:rPr>
      </w:pPr>
      <w:r>
        <w:rPr>
          <w:rFonts w:hint="eastAsia" w:cs="仿宋"/>
          <w:highlight w:val="none"/>
        </w:rPr>
        <w:t>3.2.1 报价方式：投标总价；</w:t>
      </w:r>
      <w:r>
        <w:rPr>
          <w:rFonts w:hint="eastAsia"/>
          <w:highlight w:val="none"/>
        </w:rPr>
        <w:t>报价币种：人民币；报价为增值税专用发票价格。</w:t>
      </w:r>
    </w:p>
    <w:p w14:paraId="0615B809">
      <w:pPr>
        <w:shd w:val="clear"/>
        <w:spacing w:line="360" w:lineRule="auto"/>
        <w:ind w:firstLine="480" w:firstLineChars="200"/>
        <w:rPr>
          <w:rFonts w:cs="仿宋"/>
          <w:highlight w:val="none"/>
        </w:rPr>
      </w:pPr>
      <w:r>
        <w:rPr>
          <w:rFonts w:hint="eastAsia" w:cs="仿宋"/>
          <w:highlight w:val="none"/>
        </w:rPr>
        <w:t>3.2.2 投标人在招标开始时间前修改报价函中的总报价，应同时修改“报价组成表”中的相应价格。此修改须符合本章第4.3款的有关规定。　</w:t>
      </w:r>
    </w:p>
    <w:p w14:paraId="38F1F4DE">
      <w:pPr>
        <w:pStyle w:val="59"/>
        <w:shd w:val="clear"/>
        <w:ind w:left="851" w:leftChars="0" w:hanging="851" w:firstLineChars="0"/>
        <w:outlineLvl w:val="1"/>
        <w:rPr>
          <w:highlight w:val="none"/>
        </w:rPr>
      </w:pPr>
      <w:bookmarkStart w:id="99" w:name="_Toc507936031"/>
      <w:bookmarkStart w:id="100" w:name="_Toc406766395"/>
      <w:bookmarkStart w:id="101" w:name="_Toc506105837"/>
      <w:bookmarkStart w:id="102" w:name="_Toc14708"/>
      <w:r>
        <w:rPr>
          <w:rFonts w:hint="eastAsia"/>
          <w:highlight w:val="none"/>
        </w:rPr>
        <w:t>3.3 投标有效期</w:t>
      </w:r>
      <w:bookmarkEnd w:id="99"/>
      <w:bookmarkEnd w:id="100"/>
      <w:bookmarkEnd w:id="101"/>
      <w:bookmarkEnd w:id="102"/>
    </w:p>
    <w:p w14:paraId="32E2C7B9">
      <w:pPr>
        <w:shd w:val="clear"/>
        <w:spacing w:line="360" w:lineRule="auto"/>
        <w:ind w:firstLine="480" w:firstLineChars="200"/>
        <w:rPr>
          <w:rFonts w:cs="仿宋"/>
          <w:highlight w:val="none"/>
        </w:rPr>
      </w:pPr>
      <w:r>
        <w:rPr>
          <w:rFonts w:hint="eastAsia" w:cs="仿宋"/>
          <w:highlight w:val="none"/>
        </w:rPr>
        <w:t>3.3.1投标有效期：详见投标人须知前附表</w:t>
      </w:r>
    </w:p>
    <w:p w14:paraId="3389D350">
      <w:pPr>
        <w:shd w:val="clear"/>
        <w:spacing w:line="360" w:lineRule="auto"/>
        <w:ind w:firstLine="480" w:firstLineChars="200"/>
        <w:rPr>
          <w:rFonts w:cs="仿宋"/>
          <w:highlight w:val="none"/>
        </w:rPr>
      </w:pPr>
      <w:r>
        <w:rPr>
          <w:rFonts w:hint="eastAsia" w:cs="仿宋"/>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文件失效，但投标人有权收回其投标保证金。</w:t>
      </w:r>
    </w:p>
    <w:p w14:paraId="71E87830">
      <w:pPr>
        <w:pStyle w:val="59"/>
        <w:shd w:val="clear"/>
        <w:ind w:left="851" w:leftChars="0" w:hanging="851" w:firstLineChars="0"/>
        <w:outlineLvl w:val="1"/>
        <w:rPr>
          <w:highlight w:val="none"/>
        </w:rPr>
      </w:pPr>
      <w:bookmarkStart w:id="103" w:name="_Toc406766396"/>
      <w:bookmarkStart w:id="104" w:name="_Toc507936032"/>
      <w:bookmarkStart w:id="105" w:name="_Toc506105838"/>
      <w:bookmarkStart w:id="106" w:name="_Toc32165"/>
      <w:r>
        <w:rPr>
          <w:rFonts w:hint="eastAsia"/>
          <w:highlight w:val="none"/>
        </w:rPr>
        <w:t xml:space="preserve">3.4 </w:t>
      </w:r>
      <w:bookmarkEnd w:id="103"/>
      <w:bookmarkEnd w:id="104"/>
      <w:bookmarkEnd w:id="105"/>
      <w:r>
        <w:rPr>
          <w:rFonts w:hint="eastAsia"/>
          <w:highlight w:val="none"/>
        </w:rPr>
        <w:t>投标保证金</w:t>
      </w:r>
      <w:bookmarkEnd w:id="106"/>
    </w:p>
    <w:p w14:paraId="1589BF88">
      <w:pPr>
        <w:shd w:val="clear"/>
        <w:spacing w:line="360" w:lineRule="auto"/>
        <w:ind w:firstLine="480" w:firstLineChars="200"/>
        <w:rPr>
          <w:rFonts w:cs="仿宋"/>
          <w:highlight w:val="none"/>
        </w:rPr>
      </w:pPr>
      <w:r>
        <w:rPr>
          <w:rFonts w:hint="eastAsia" w:cs="仿宋"/>
          <w:highlight w:val="none"/>
        </w:rPr>
        <w:t>3.4.1 投标人在递交投标文件的同时，应按招标公告规定的金额、担保形式递交投标保证金，并作为其投标文件的组成部分。详见投标人须知前附表。</w:t>
      </w:r>
    </w:p>
    <w:p w14:paraId="2E089E6A">
      <w:pPr>
        <w:shd w:val="clear"/>
        <w:spacing w:line="360" w:lineRule="auto"/>
        <w:ind w:firstLine="480" w:firstLineChars="200"/>
        <w:rPr>
          <w:rFonts w:cs="仿宋"/>
          <w:highlight w:val="none"/>
        </w:rPr>
      </w:pPr>
      <w:r>
        <w:rPr>
          <w:rFonts w:hint="eastAsia" w:cs="仿宋"/>
          <w:highlight w:val="none"/>
        </w:rPr>
        <w:t>3.4.2 投标人不按本章第3.4.1项要求提交投标保证金的，其投标文件作无效。</w:t>
      </w:r>
    </w:p>
    <w:p w14:paraId="1A753D4C">
      <w:pPr>
        <w:shd w:val="clear"/>
        <w:spacing w:line="360" w:lineRule="auto"/>
        <w:ind w:firstLine="480" w:firstLineChars="200"/>
        <w:rPr>
          <w:rFonts w:cs="仿宋"/>
          <w:bCs/>
          <w:highlight w:val="none"/>
        </w:rPr>
      </w:pPr>
      <w:r>
        <w:rPr>
          <w:rFonts w:hint="eastAsia" w:cs="仿宋"/>
          <w:highlight w:val="none"/>
        </w:rPr>
        <w:t>3.4.3</w:t>
      </w:r>
      <w:r>
        <w:rPr>
          <w:rFonts w:hint="eastAsia" w:cs="仿宋"/>
          <w:bCs/>
          <w:highlight w:val="none"/>
        </w:rPr>
        <w:t xml:space="preserve"> </w:t>
      </w:r>
      <w:r>
        <w:rPr>
          <w:rFonts w:hint="eastAsia" w:cs="仿宋"/>
          <w:highlight w:val="none"/>
        </w:rPr>
        <w:t>招标人与中标人签订合同30日内</w:t>
      </w:r>
      <w:r>
        <w:rPr>
          <w:rFonts w:hint="eastAsia" w:cs="仿宋"/>
          <w:bCs/>
          <w:highlight w:val="none"/>
        </w:rPr>
        <w:t>，向未中标的</w:t>
      </w:r>
      <w:r>
        <w:rPr>
          <w:rFonts w:hint="eastAsia" w:cs="仿宋"/>
          <w:highlight w:val="none"/>
        </w:rPr>
        <w:t>投标人</w:t>
      </w:r>
      <w:r>
        <w:rPr>
          <w:rFonts w:hint="eastAsia" w:cs="仿宋"/>
          <w:bCs/>
          <w:highlight w:val="none"/>
        </w:rPr>
        <w:t>退还投标保证金。</w:t>
      </w:r>
    </w:p>
    <w:p w14:paraId="734D5DC9">
      <w:pPr>
        <w:shd w:val="clear"/>
        <w:spacing w:line="360" w:lineRule="auto"/>
        <w:ind w:firstLine="480" w:firstLineChars="200"/>
        <w:rPr>
          <w:rFonts w:cs="仿宋"/>
          <w:highlight w:val="none"/>
        </w:rPr>
      </w:pPr>
      <w:r>
        <w:rPr>
          <w:rFonts w:hint="eastAsia" w:cs="仿宋"/>
          <w:highlight w:val="none"/>
        </w:rPr>
        <w:t>3.4.4 有下列情形之一的，投标保证金将不予退还：</w:t>
      </w:r>
    </w:p>
    <w:p w14:paraId="36123455">
      <w:pPr>
        <w:shd w:val="clear"/>
        <w:spacing w:line="360" w:lineRule="auto"/>
        <w:ind w:firstLine="480" w:firstLineChars="200"/>
        <w:rPr>
          <w:rFonts w:cs="仿宋"/>
          <w:highlight w:val="none"/>
        </w:rPr>
      </w:pPr>
      <w:r>
        <w:rPr>
          <w:rFonts w:hint="eastAsia" w:cs="仿宋"/>
          <w:highlight w:val="none"/>
        </w:rPr>
        <w:t>（1）投标人在规定的招标有效期内撤销或修改其投标文件；</w:t>
      </w:r>
    </w:p>
    <w:p w14:paraId="1DFC4174">
      <w:pPr>
        <w:shd w:val="clear"/>
        <w:spacing w:line="360" w:lineRule="auto"/>
        <w:ind w:firstLine="480" w:firstLineChars="200"/>
        <w:rPr>
          <w:rFonts w:cs="仿宋"/>
          <w:highlight w:val="none"/>
        </w:rPr>
      </w:pPr>
      <w:r>
        <w:rPr>
          <w:rFonts w:hint="eastAsia" w:cs="仿宋"/>
          <w:highlight w:val="none"/>
        </w:rPr>
        <w:t>（2）中标人在收到中标通知书后，无正当理由拒签合同协议书或未按招标文件规定提交履约担保。</w:t>
      </w:r>
    </w:p>
    <w:p w14:paraId="0940C7CD">
      <w:pPr>
        <w:pStyle w:val="59"/>
        <w:shd w:val="clear"/>
        <w:ind w:left="851" w:leftChars="0" w:hanging="851" w:firstLineChars="0"/>
        <w:outlineLvl w:val="1"/>
        <w:rPr>
          <w:highlight w:val="none"/>
        </w:rPr>
      </w:pPr>
      <w:bookmarkStart w:id="107" w:name="_Toc506105839"/>
      <w:bookmarkStart w:id="108" w:name="_Toc507936033"/>
      <w:bookmarkStart w:id="109" w:name="_Toc2138"/>
      <w:r>
        <w:rPr>
          <w:rFonts w:hint="eastAsia"/>
          <w:highlight w:val="none"/>
        </w:rPr>
        <w:t>3.5 资格审查资料</w:t>
      </w:r>
      <w:bookmarkEnd w:id="107"/>
      <w:bookmarkEnd w:id="108"/>
      <w:bookmarkEnd w:id="109"/>
    </w:p>
    <w:p w14:paraId="39E08FE1">
      <w:pPr>
        <w:shd w:val="clear"/>
        <w:spacing w:line="360" w:lineRule="auto"/>
        <w:ind w:firstLine="480" w:firstLineChars="200"/>
        <w:rPr>
          <w:rFonts w:cs="仿宋"/>
          <w:highlight w:val="none"/>
        </w:rPr>
      </w:pPr>
      <w:r>
        <w:rPr>
          <w:rFonts w:hint="eastAsia" w:cs="仿宋"/>
          <w:highlight w:val="none"/>
        </w:rPr>
        <w:t xml:space="preserve">3.5.1 </w:t>
      </w:r>
      <w:r>
        <w:rPr>
          <w:rFonts w:hint="eastAsia"/>
          <w:highlight w:val="none"/>
        </w:rPr>
        <w:t>营业执照、资质证书、体系认证、资信等级、人员资格证书、业绩合同、获奖证书</w:t>
      </w:r>
      <w:r>
        <w:rPr>
          <w:rFonts w:hint="eastAsia" w:cs="仿宋"/>
          <w:highlight w:val="none"/>
        </w:rPr>
        <w:t>等材料的复印件。</w:t>
      </w:r>
    </w:p>
    <w:p w14:paraId="3FC6BD80">
      <w:pPr>
        <w:shd w:val="clear"/>
        <w:spacing w:line="360" w:lineRule="auto"/>
        <w:ind w:firstLine="480" w:firstLineChars="200"/>
        <w:rPr>
          <w:rFonts w:hint="eastAsia"/>
          <w:highlight w:val="none"/>
        </w:rPr>
      </w:pPr>
      <w:r>
        <w:rPr>
          <w:rFonts w:hint="eastAsia" w:cs="仿宋"/>
          <w:highlight w:val="none"/>
        </w:rPr>
        <w:t xml:space="preserve">3.5.2 </w:t>
      </w:r>
      <w:r>
        <w:rPr>
          <w:rFonts w:hint="eastAsia"/>
          <w:highlight w:val="none"/>
        </w:rPr>
        <w:t>近3年财务审计报告</w:t>
      </w:r>
    </w:p>
    <w:p w14:paraId="61E2BF13">
      <w:pPr>
        <w:shd w:val="clear"/>
        <w:spacing w:line="360" w:lineRule="auto"/>
        <w:ind w:firstLine="480" w:firstLineChars="200"/>
        <w:rPr>
          <w:rFonts w:hint="eastAsia" w:cs="仿宋"/>
          <w:highlight w:val="none"/>
        </w:rPr>
      </w:pPr>
      <w:r>
        <w:rPr>
          <w:rFonts w:hint="eastAsia" w:cs="仿宋"/>
          <w:highlight w:val="none"/>
        </w:rPr>
        <w:t>3.5.3“近3年完成的业绩情况表”具体要求详见商务部分</w:t>
      </w:r>
    </w:p>
    <w:p w14:paraId="0ED67C5F">
      <w:pPr>
        <w:shd w:val="clear"/>
        <w:spacing w:line="360" w:lineRule="auto"/>
        <w:ind w:firstLine="480" w:firstLineChars="200"/>
        <w:rPr>
          <w:rFonts w:hint="eastAsia" w:cs="仿宋"/>
          <w:highlight w:val="none"/>
        </w:rPr>
      </w:pPr>
      <w:r>
        <w:rPr>
          <w:rFonts w:hint="eastAsia" w:cs="仿宋"/>
          <w:highlight w:val="none"/>
        </w:rPr>
        <w:t>3.5.4 “近3年发生的诉讼及仲裁情况”应说明相关情况，并附法院或仲裁机构作出的判决、裁决等有关法律文书复印件。</w:t>
      </w:r>
    </w:p>
    <w:p w14:paraId="34BEE188">
      <w:pPr>
        <w:shd w:val="clear"/>
        <w:spacing w:line="360" w:lineRule="auto"/>
        <w:ind w:firstLine="480" w:firstLineChars="200"/>
        <w:rPr>
          <w:rFonts w:cs="仿宋"/>
          <w:highlight w:val="none"/>
        </w:rPr>
      </w:pPr>
      <w:r>
        <w:rPr>
          <w:rFonts w:hint="eastAsia" w:cs="仿宋"/>
          <w:highlight w:val="none"/>
        </w:rPr>
        <w:t>3.5.4认为有必要提供的其他证明文件。</w:t>
      </w:r>
    </w:p>
    <w:p w14:paraId="7FD22AD0">
      <w:pPr>
        <w:pStyle w:val="59"/>
        <w:shd w:val="clear"/>
        <w:ind w:left="851" w:leftChars="0" w:hanging="851" w:firstLineChars="0"/>
        <w:outlineLvl w:val="1"/>
        <w:rPr>
          <w:rFonts w:hint="eastAsia"/>
          <w:highlight w:val="none"/>
        </w:rPr>
      </w:pPr>
      <w:bookmarkStart w:id="110" w:name="_Toc19346"/>
      <w:bookmarkStart w:id="111" w:name="_Toc507936034"/>
      <w:bookmarkStart w:id="112" w:name="_Toc506105840"/>
      <w:r>
        <w:rPr>
          <w:rFonts w:hint="eastAsia"/>
          <w:highlight w:val="none"/>
        </w:rPr>
        <w:t>3.6 备选投标方案</w:t>
      </w:r>
      <w:bookmarkEnd w:id="110"/>
      <w:bookmarkEnd w:id="111"/>
      <w:bookmarkEnd w:id="112"/>
    </w:p>
    <w:p w14:paraId="3F6A9C95">
      <w:pPr>
        <w:shd w:val="clear"/>
        <w:spacing w:line="360" w:lineRule="auto"/>
        <w:ind w:firstLine="480" w:firstLineChars="200"/>
        <w:rPr>
          <w:rFonts w:hint="eastAsia" w:cs="仿宋"/>
          <w:highlight w:val="none"/>
        </w:rPr>
      </w:pPr>
      <w:r>
        <w:rPr>
          <w:rFonts w:hint="eastAsia" w:cs="仿宋"/>
          <w:highlight w:val="none"/>
        </w:rPr>
        <w:t>3.6.1本次招标不接受备选方案。</w:t>
      </w:r>
    </w:p>
    <w:p w14:paraId="18BF92B0">
      <w:pPr>
        <w:pStyle w:val="59"/>
        <w:shd w:val="clear"/>
        <w:ind w:left="851" w:leftChars="0" w:hanging="851" w:firstLineChars="0"/>
        <w:outlineLvl w:val="1"/>
        <w:rPr>
          <w:highlight w:val="none"/>
        </w:rPr>
      </w:pPr>
      <w:bookmarkStart w:id="113" w:name="_Toc23639"/>
      <w:bookmarkStart w:id="114" w:name="_Toc507936035"/>
      <w:bookmarkStart w:id="115" w:name="_Toc506105841"/>
      <w:r>
        <w:rPr>
          <w:rFonts w:hint="eastAsia"/>
          <w:highlight w:val="none"/>
        </w:rPr>
        <w:t>3.7 投标文件的编制</w:t>
      </w:r>
      <w:bookmarkEnd w:id="113"/>
      <w:bookmarkEnd w:id="114"/>
      <w:bookmarkEnd w:id="115"/>
    </w:p>
    <w:p w14:paraId="14E53A1A">
      <w:pPr>
        <w:shd w:val="clear"/>
        <w:spacing w:line="360" w:lineRule="auto"/>
        <w:ind w:firstLine="480" w:firstLineChars="200"/>
        <w:rPr>
          <w:rFonts w:cs="仿宋"/>
          <w:highlight w:val="none"/>
        </w:rPr>
      </w:pPr>
      <w:r>
        <w:rPr>
          <w:rFonts w:hint="eastAsia" w:cs="仿宋"/>
          <w:highlight w:val="none"/>
        </w:rPr>
        <w:t>3.7.1投标文件应按《第五章投标文件格式及内容》要求进行编写。</w:t>
      </w:r>
    </w:p>
    <w:p w14:paraId="3D513D20">
      <w:pPr>
        <w:shd w:val="clear"/>
        <w:spacing w:line="360" w:lineRule="auto"/>
        <w:ind w:firstLine="480" w:firstLineChars="200"/>
        <w:rPr>
          <w:rFonts w:cs="仿宋"/>
          <w:highlight w:val="none"/>
        </w:rPr>
      </w:pPr>
      <w:r>
        <w:rPr>
          <w:rFonts w:hint="eastAsia" w:cs="仿宋"/>
          <w:highlight w:val="none"/>
        </w:rPr>
        <w:t>3.7.2投标文件应当对招标文件有关交货期、投标有效期、质量要求、技术要求、招标范围等实质性内容作出响应。</w:t>
      </w:r>
    </w:p>
    <w:p w14:paraId="20B2166B">
      <w:pPr>
        <w:shd w:val="clear"/>
        <w:spacing w:line="360" w:lineRule="auto"/>
        <w:ind w:firstLine="480" w:firstLineChars="200"/>
        <w:rPr>
          <w:rFonts w:cs="仿宋"/>
          <w:highlight w:val="none"/>
        </w:rPr>
      </w:pPr>
      <w:r>
        <w:rPr>
          <w:rFonts w:hint="eastAsia" w:cs="仿宋"/>
          <w:highlight w:val="none"/>
        </w:rPr>
        <w:t>3.7.3投标文件应用不褪色的材料书写或打印，并由法定代表人或其委托代理人签字或盖公章。签字或盖章的具体要求见投标人须知前附表。</w:t>
      </w:r>
    </w:p>
    <w:p w14:paraId="28F297B3">
      <w:pPr>
        <w:shd w:val="clear"/>
        <w:spacing w:line="360" w:lineRule="auto"/>
        <w:ind w:firstLine="480" w:firstLineChars="200"/>
        <w:rPr>
          <w:rFonts w:cs="仿宋"/>
          <w:highlight w:val="none"/>
        </w:rPr>
      </w:pPr>
      <w:r>
        <w:rPr>
          <w:rFonts w:hint="eastAsia" w:cs="仿宋"/>
          <w:highlight w:val="none"/>
        </w:rPr>
        <w:t>3.7.4投标文件正本壹份，副本</w:t>
      </w:r>
      <w:r>
        <w:rPr>
          <w:rFonts w:hint="eastAsia" w:cs="仿宋"/>
          <w:highlight w:val="none"/>
          <w:lang w:val="en-US" w:eastAsia="zh-CN"/>
        </w:rPr>
        <w:t>贰</w:t>
      </w:r>
      <w:r>
        <w:rPr>
          <w:rFonts w:hint="eastAsia" w:cs="仿宋"/>
          <w:highlight w:val="none"/>
        </w:rPr>
        <w:t>份。正本和副本的封面上应清楚地标记“正本”或“副本”的字样并加盖公章。当副本和正本不一致时，以正本为准。</w:t>
      </w:r>
    </w:p>
    <w:p w14:paraId="66C39B73">
      <w:pPr>
        <w:shd w:val="clear"/>
        <w:spacing w:line="360" w:lineRule="auto"/>
        <w:ind w:firstLine="480" w:firstLineChars="200"/>
        <w:rPr>
          <w:rFonts w:cs="仿宋"/>
          <w:highlight w:val="none"/>
        </w:rPr>
      </w:pPr>
      <w:r>
        <w:rPr>
          <w:rFonts w:hint="eastAsia" w:cs="仿宋"/>
          <w:highlight w:val="none"/>
        </w:rPr>
        <w:t>3.7.5投标文件的正本与副本应分别装订成册，并编制目录，详见投标人须知前附表。</w:t>
      </w:r>
    </w:p>
    <w:p w14:paraId="35272C48">
      <w:pPr>
        <w:shd w:val="clear"/>
        <w:spacing w:line="360" w:lineRule="auto"/>
        <w:jc w:val="center"/>
        <w:outlineLvl w:val="0"/>
        <w:rPr>
          <w:rStyle w:val="96"/>
          <w:rFonts w:hint="eastAsia"/>
          <w:highlight w:val="none"/>
        </w:rPr>
      </w:pPr>
      <w:bookmarkStart w:id="116" w:name="_Toc19825"/>
      <w:r>
        <w:rPr>
          <w:rStyle w:val="96"/>
          <w:rFonts w:hint="eastAsia"/>
          <w:highlight w:val="none"/>
        </w:rPr>
        <w:t>4.投标</w:t>
      </w:r>
      <w:bookmarkEnd w:id="116"/>
    </w:p>
    <w:p w14:paraId="4911A9E5">
      <w:pPr>
        <w:pStyle w:val="59"/>
        <w:shd w:val="clear"/>
        <w:ind w:left="851" w:leftChars="0" w:hanging="851" w:firstLineChars="0"/>
        <w:outlineLvl w:val="1"/>
        <w:rPr>
          <w:highlight w:val="none"/>
        </w:rPr>
      </w:pPr>
      <w:bookmarkStart w:id="117" w:name="_Toc506105844"/>
      <w:bookmarkStart w:id="118" w:name="_Toc14294"/>
      <w:bookmarkStart w:id="119" w:name="_Toc507936037"/>
      <w:r>
        <w:rPr>
          <w:rFonts w:hint="eastAsia"/>
          <w:highlight w:val="none"/>
        </w:rPr>
        <w:t>4.1 投标文件的递交</w:t>
      </w:r>
      <w:bookmarkEnd w:id="117"/>
      <w:bookmarkEnd w:id="118"/>
      <w:bookmarkEnd w:id="119"/>
    </w:p>
    <w:p w14:paraId="4E738382">
      <w:pPr>
        <w:shd w:val="clear"/>
        <w:spacing w:line="360" w:lineRule="auto"/>
        <w:ind w:firstLine="480" w:firstLineChars="200"/>
        <w:rPr>
          <w:rFonts w:cs="仿宋"/>
          <w:highlight w:val="none"/>
        </w:rPr>
      </w:pPr>
      <w:r>
        <w:rPr>
          <w:rFonts w:hint="eastAsia" w:cs="仿宋"/>
          <w:highlight w:val="none"/>
        </w:rPr>
        <w:t>4.1.1递交投标文件的截止时间和地点，详见投标人须知前附表。</w:t>
      </w:r>
    </w:p>
    <w:p w14:paraId="3E5E3920">
      <w:pPr>
        <w:shd w:val="clear"/>
        <w:spacing w:line="360" w:lineRule="auto"/>
        <w:ind w:firstLine="480" w:firstLineChars="200"/>
        <w:rPr>
          <w:rFonts w:cs="仿宋"/>
          <w:highlight w:val="none"/>
        </w:rPr>
      </w:pPr>
      <w:r>
        <w:rPr>
          <w:rFonts w:hint="eastAsia" w:cs="仿宋"/>
          <w:highlight w:val="none"/>
        </w:rPr>
        <w:t>4.1.2除投标人须知前附表另有规定外，所递交的投标文件不予退还。</w:t>
      </w:r>
    </w:p>
    <w:p w14:paraId="3BF94251">
      <w:pPr>
        <w:pStyle w:val="59"/>
        <w:shd w:val="clear"/>
        <w:ind w:left="851" w:leftChars="0" w:hanging="851" w:firstLineChars="0"/>
        <w:outlineLvl w:val="1"/>
        <w:rPr>
          <w:highlight w:val="none"/>
        </w:rPr>
      </w:pPr>
      <w:bookmarkStart w:id="120" w:name="_Toc1978"/>
      <w:bookmarkStart w:id="121" w:name="_Toc507936038"/>
      <w:bookmarkStart w:id="122" w:name="_Toc506105845"/>
      <w:r>
        <w:rPr>
          <w:rFonts w:hint="eastAsia"/>
          <w:highlight w:val="none"/>
        </w:rPr>
        <w:t>4.2 投标文件的修改与撤回</w:t>
      </w:r>
      <w:bookmarkEnd w:id="120"/>
      <w:bookmarkEnd w:id="121"/>
      <w:bookmarkEnd w:id="122"/>
    </w:p>
    <w:p w14:paraId="1441631E">
      <w:pPr>
        <w:shd w:val="clear"/>
        <w:spacing w:line="360" w:lineRule="auto"/>
        <w:ind w:firstLine="480" w:firstLineChars="200"/>
        <w:rPr>
          <w:rFonts w:cs="仿宋"/>
          <w:highlight w:val="none"/>
        </w:rPr>
      </w:pPr>
      <w:r>
        <w:rPr>
          <w:rFonts w:hint="eastAsia" w:cs="仿宋"/>
          <w:highlight w:val="none"/>
        </w:rPr>
        <w:t>4.2.1在递交投标文件截止时间前，投标人可以修改或撤回已递交的投标文件，但应以书面形式通知招标人。</w:t>
      </w:r>
    </w:p>
    <w:p w14:paraId="36C20C47">
      <w:pPr>
        <w:shd w:val="clear"/>
        <w:spacing w:line="360" w:lineRule="auto"/>
        <w:ind w:firstLine="480" w:firstLineChars="200"/>
        <w:rPr>
          <w:rFonts w:cs="仿宋"/>
          <w:highlight w:val="none"/>
        </w:rPr>
      </w:pPr>
      <w:r>
        <w:rPr>
          <w:rFonts w:hint="eastAsia" w:cs="仿宋"/>
          <w:highlight w:val="none"/>
        </w:rPr>
        <w:t>4.2.2投标人修改或撤回已递交投标文件应按要求签字或盖章。</w:t>
      </w:r>
    </w:p>
    <w:p w14:paraId="35D1AA96">
      <w:pPr>
        <w:shd w:val="clear"/>
        <w:spacing w:line="360" w:lineRule="auto"/>
        <w:ind w:firstLine="480" w:firstLineChars="200"/>
        <w:rPr>
          <w:rFonts w:cs="仿宋"/>
          <w:highlight w:val="none"/>
        </w:rPr>
      </w:pPr>
      <w:r>
        <w:rPr>
          <w:rFonts w:hint="eastAsia" w:cs="仿宋"/>
          <w:highlight w:val="none"/>
        </w:rPr>
        <w:t>4.2.3修改的内容为投标文件的组成部分。修改的投标文件应按照本章第3条、第4条规定进行编制、密封、标记和递交，并标明“修改”字样。</w:t>
      </w:r>
    </w:p>
    <w:p w14:paraId="3ECD22DD">
      <w:pPr>
        <w:pStyle w:val="64"/>
        <w:shd w:val="clear"/>
        <w:ind w:left="851" w:leftChars="0" w:hanging="851" w:firstLineChars="0"/>
        <w:outlineLvl w:val="0"/>
        <w:rPr>
          <w:rStyle w:val="96"/>
          <w:rFonts w:hint="eastAsia"/>
          <w:b/>
          <w:bCs/>
          <w:highlight w:val="none"/>
        </w:rPr>
      </w:pPr>
      <w:bookmarkStart w:id="123" w:name="_Toc507936039"/>
      <w:bookmarkStart w:id="124" w:name="_Toc506105846"/>
      <w:bookmarkStart w:id="125" w:name="_Toc21061"/>
      <w:r>
        <w:rPr>
          <w:rStyle w:val="96"/>
          <w:rFonts w:hint="eastAsia"/>
          <w:b/>
          <w:bCs/>
          <w:highlight w:val="none"/>
        </w:rPr>
        <w:t>5.</w:t>
      </w:r>
      <w:bookmarkEnd w:id="123"/>
      <w:bookmarkEnd w:id="124"/>
      <w:r>
        <w:rPr>
          <w:rStyle w:val="96"/>
          <w:rFonts w:hint="eastAsia"/>
          <w:b/>
          <w:bCs/>
          <w:highlight w:val="none"/>
        </w:rPr>
        <w:t>开标</w:t>
      </w:r>
      <w:bookmarkEnd w:id="125"/>
    </w:p>
    <w:p w14:paraId="54414B2A">
      <w:pPr>
        <w:pStyle w:val="59"/>
        <w:shd w:val="clear"/>
        <w:ind w:left="851" w:leftChars="0" w:hanging="851" w:firstLineChars="0"/>
        <w:outlineLvl w:val="1"/>
        <w:rPr>
          <w:rFonts w:hint="eastAsia"/>
          <w:highlight w:val="none"/>
        </w:rPr>
      </w:pPr>
      <w:bookmarkStart w:id="126" w:name="_Toc507936040"/>
      <w:bookmarkStart w:id="127" w:name="_Toc506105847"/>
      <w:bookmarkStart w:id="128" w:name="_Toc19888"/>
      <w:r>
        <w:rPr>
          <w:rFonts w:hint="eastAsia"/>
          <w:highlight w:val="none"/>
        </w:rPr>
        <w:t xml:space="preserve">5.1 </w:t>
      </w:r>
      <w:bookmarkEnd w:id="126"/>
      <w:bookmarkEnd w:id="127"/>
      <w:bookmarkStart w:id="129" w:name="_Toc506105848"/>
      <w:r>
        <w:rPr>
          <w:rFonts w:hint="eastAsia"/>
          <w:highlight w:val="none"/>
        </w:rPr>
        <w:t>开标</w:t>
      </w:r>
      <w:bookmarkEnd w:id="128"/>
    </w:p>
    <w:p w14:paraId="0CD25B95">
      <w:pPr>
        <w:shd w:val="clear"/>
        <w:spacing w:line="360" w:lineRule="auto"/>
        <w:rPr>
          <w:rFonts w:hint="eastAsia" w:cs="仿宋"/>
          <w:highlight w:val="none"/>
        </w:rPr>
      </w:pPr>
      <w:r>
        <w:rPr>
          <w:rFonts w:hint="eastAsia" w:cs="仿宋"/>
          <w:highlight w:val="none"/>
        </w:rPr>
        <w:t>5.1.1</w:t>
      </w:r>
      <w:r>
        <w:rPr>
          <w:rFonts w:hint="eastAsia"/>
          <w:highlight w:val="none"/>
        </w:rPr>
        <w:t>开标时间和方式：</w:t>
      </w:r>
      <w:r>
        <w:rPr>
          <w:rFonts w:hint="eastAsia" w:cs="仿宋"/>
          <w:highlight w:val="none"/>
        </w:rPr>
        <w:t>详见投标人须知前附表。</w:t>
      </w:r>
    </w:p>
    <w:p w14:paraId="415CEEB7">
      <w:pPr>
        <w:shd w:val="clear"/>
        <w:spacing w:line="360" w:lineRule="auto"/>
        <w:rPr>
          <w:rFonts w:hint="eastAsia" w:cs="仿宋"/>
          <w:highlight w:val="none"/>
        </w:rPr>
      </w:pPr>
      <w:r>
        <w:rPr>
          <w:rFonts w:hint="eastAsia" w:cs="仿宋"/>
          <w:highlight w:val="none"/>
        </w:rPr>
        <w:t>5.1.2</w:t>
      </w:r>
      <w:r>
        <w:rPr>
          <w:rFonts w:hint="eastAsia"/>
          <w:highlight w:val="none"/>
        </w:rPr>
        <w:t>投标人证件及业绩的提交：</w:t>
      </w:r>
      <w:r>
        <w:rPr>
          <w:rFonts w:hint="eastAsia" w:cs="仿宋"/>
          <w:highlight w:val="none"/>
        </w:rPr>
        <w:t>详见投标人须知前附表。</w:t>
      </w:r>
    </w:p>
    <w:p w14:paraId="5CAFCA63">
      <w:pPr>
        <w:shd w:val="clear"/>
        <w:spacing w:line="360" w:lineRule="auto"/>
        <w:rPr>
          <w:rFonts w:hint="eastAsia" w:cs="仿宋"/>
          <w:highlight w:val="none"/>
        </w:rPr>
      </w:pPr>
      <w:r>
        <w:rPr>
          <w:rFonts w:hint="eastAsia" w:cs="仿宋"/>
          <w:highlight w:val="none"/>
        </w:rPr>
        <w:t>5.1.3</w:t>
      </w:r>
      <w:r>
        <w:rPr>
          <w:rFonts w:hint="eastAsia"/>
          <w:highlight w:val="none"/>
        </w:rPr>
        <w:t>开标时投标人需要携带的证件：</w:t>
      </w:r>
      <w:r>
        <w:rPr>
          <w:rFonts w:hint="eastAsia" w:cs="仿宋"/>
          <w:highlight w:val="none"/>
        </w:rPr>
        <w:t>详见投标人须知前附表。</w:t>
      </w:r>
    </w:p>
    <w:bookmarkEnd w:id="129"/>
    <w:p w14:paraId="6AB2A250">
      <w:pPr>
        <w:pStyle w:val="64"/>
        <w:shd w:val="clear"/>
        <w:ind w:left="851" w:leftChars="0" w:hanging="851" w:firstLineChars="0"/>
        <w:outlineLvl w:val="0"/>
        <w:rPr>
          <w:rStyle w:val="96"/>
          <w:rFonts w:hint="eastAsia"/>
          <w:b/>
          <w:bCs/>
          <w:highlight w:val="none"/>
        </w:rPr>
      </w:pPr>
      <w:bookmarkStart w:id="130" w:name="_Toc507936041"/>
      <w:bookmarkStart w:id="131" w:name="_Toc506105849"/>
      <w:bookmarkStart w:id="132" w:name="_Toc27963"/>
      <w:r>
        <w:rPr>
          <w:rStyle w:val="96"/>
          <w:rFonts w:hint="eastAsia"/>
          <w:b/>
          <w:bCs/>
          <w:highlight w:val="none"/>
        </w:rPr>
        <w:t>6.</w:t>
      </w:r>
      <w:bookmarkEnd w:id="130"/>
      <w:bookmarkEnd w:id="131"/>
      <w:r>
        <w:rPr>
          <w:rStyle w:val="96"/>
          <w:rFonts w:hint="eastAsia"/>
          <w:b/>
          <w:bCs/>
          <w:highlight w:val="none"/>
        </w:rPr>
        <w:t>评标</w:t>
      </w:r>
      <w:bookmarkEnd w:id="132"/>
    </w:p>
    <w:p w14:paraId="5BA1F961">
      <w:pPr>
        <w:pStyle w:val="59"/>
        <w:shd w:val="clear"/>
        <w:ind w:left="851" w:leftChars="0" w:hanging="851" w:firstLineChars="0"/>
        <w:outlineLvl w:val="1"/>
        <w:rPr>
          <w:highlight w:val="none"/>
        </w:rPr>
      </w:pPr>
      <w:bookmarkStart w:id="133" w:name="_Toc507936042"/>
      <w:bookmarkStart w:id="134" w:name="_Toc12390"/>
      <w:bookmarkStart w:id="135" w:name="_Toc506105850"/>
      <w:r>
        <w:rPr>
          <w:rFonts w:hint="eastAsia"/>
          <w:highlight w:val="none"/>
        </w:rPr>
        <w:t>6.1 评标委员会</w:t>
      </w:r>
      <w:bookmarkEnd w:id="133"/>
      <w:bookmarkEnd w:id="134"/>
      <w:bookmarkEnd w:id="135"/>
    </w:p>
    <w:p w14:paraId="53E06D88">
      <w:pPr>
        <w:shd w:val="clear"/>
        <w:spacing w:line="360" w:lineRule="auto"/>
        <w:ind w:firstLine="480" w:firstLineChars="200"/>
        <w:rPr>
          <w:rFonts w:cs="仿宋"/>
          <w:highlight w:val="none"/>
        </w:rPr>
      </w:pPr>
      <w:r>
        <w:rPr>
          <w:rFonts w:hint="eastAsia" w:cs="仿宋"/>
          <w:highlight w:val="none"/>
        </w:rPr>
        <w:t>评标由招标人依法组建的评标委员会负责。评标委员会由招标人熟悉相关业务的代表，以及有关技术、经济等方面的专家组成，评标委员会成员人数为5人及以上单数。</w:t>
      </w:r>
    </w:p>
    <w:p w14:paraId="6C3B7B7C">
      <w:pPr>
        <w:pStyle w:val="59"/>
        <w:shd w:val="clear"/>
        <w:ind w:left="851" w:leftChars="0" w:hanging="851" w:firstLineChars="0"/>
        <w:outlineLvl w:val="1"/>
        <w:rPr>
          <w:highlight w:val="none"/>
        </w:rPr>
      </w:pPr>
      <w:bookmarkStart w:id="136" w:name="_Toc507936043"/>
      <w:bookmarkStart w:id="137" w:name="_Toc506105851"/>
      <w:bookmarkStart w:id="138" w:name="_Toc15345"/>
      <w:r>
        <w:rPr>
          <w:rFonts w:hint="eastAsia"/>
          <w:highlight w:val="none"/>
        </w:rPr>
        <w:t>6.2 评标原则</w:t>
      </w:r>
      <w:bookmarkEnd w:id="136"/>
      <w:bookmarkEnd w:id="137"/>
      <w:bookmarkEnd w:id="138"/>
    </w:p>
    <w:p w14:paraId="2DC90565">
      <w:pPr>
        <w:pStyle w:val="57"/>
        <w:shd w:val="clear"/>
        <w:spacing w:before="156"/>
        <w:jc w:val="both"/>
        <w:outlineLvl w:val="9"/>
        <w:rPr>
          <w:rFonts w:hint="eastAsia" w:ascii="宋体" w:hAnsi="宋体" w:eastAsia="宋体" w:cs="仿宋"/>
          <w:b w:val="0"/>
          <w:kern w:val="0"/>
          <w:sz w:val="24"/>
          <w:szCs w:val="24"/>
          <w:highlight w:val="none"/>
        </w:rPr>
      </w:pPr>
      <w:r>
        <w:rPr>
          <w:rFonts w:hint="eastAsia" w:ascii="宋体" w:hAnsi="宋体" w:eastAsia="宋体" w:cs="仿宋"/>
          <w:b w:val="0"/>
          <w:kern w:val="0"/>
          <w:sz w:val="24"/>
          <w:szCs w:val="24"/>
          <w:highlight w:val="none"/>
        </w:rPr>
        <w:t>评标活动遵循公平、公正、科学和择优的原则。</w:t>
      </w:r>
    </w:p>
    <w:p w14:paraId="1D8A2B48">
      <w:pPr>
        <w:pStyle w:val="59"/>
        <w:shd w:val="clear"/>
        <w:ind w:left="851" w:leftChars="0" w:hanging="851" w:firstLineChars="0"/>
        <w:outlineLvl w:val="1"/>
        <w:rPr>
          <w:highlight w:val="none"/>
        </w:rPr>
      </w:pPr>
      <w:bookmarkStart w:id="139" w:name="_Toc10971"/>
      <w:bookmarkStart w:id="140" w:name="_Toc507936044"/>
      <w:bookmarkStart w:id="141" w:name="_Toc506105852"/>
      <w:r>
        <w:rPr>
          <w:rFonts w:hint="eastAsia"/>
          <w:highlight w:val="none"/>
        </w:rPr>
        <w:t>6.3 评标方法</w:t>
      </w:r>
      <w:bookmarkEnd w:id="139"/>
      <w:bookmarkEnd w:id="140"/>
      <w:bookmarkEnd w:id="141"/>
    </w:p>
    <w:p w14:paraId="6330575A">
      <w:pPr>
        <w:pStyle w:val="57"/>
        <w:shd w:val="clear"/>
        <w:spacing w:before="156"/>
        <w:jc w:val="both"/>
        <w:outlineLvl w:val="9"/>
        <w:rPr>
          <w:rFonts w:hint="eastAsia" w:ascii="宋体" w:hAnsi="宋体" w:eastAsia="宋体" w:cs="仿宋"/>
          <w:b w:val="0"/>
          <w:kern w:val="0"/>
          <w:sz w:val="24"/>
          <w:szCs w:val="24"/>
          <w:highlight w:val="none"/>
        </w:rPr>
      </w:pPr>
      <w:bookmarkStart w:id="142" w:name="_Toc506886218"/>
      <w:r>
        <w:rPr>
          <w:rFonts w:hint="eastAsia" w:ascii="宋体" w:hAnsi="宋体" w:eastAsia="宋体" w:cs="仿宋"/>
          <w:b w:val="0"/>
          <w:kern w:val="0"/>
          <w:sz w:val="24"/>
          <w:szCs w:val="24"/>
          <w:highlight w:val="none"/>
        </w:rPr>
        <w:t xml:space="preserve">    按综合评标法进行评标。</w:t>
      </w:r>
      <w:bookmarkEnd w:id="142"/>
    </w:p>
    <w:p w14:paraId="387C3327">
      <w:pPr>
        <w:pStyle w:val="59"/>
        <w:shd w:val="clear"/>
        <w:ind w:left="851" w:leftChars="0" w:hanging="851" w:firstLineChars="0"/>
        <w:outlineLvl w:val="1"/>
        <w:rPr>
          <w:highlight w:val="none"/>
        </w:rPr>
      </w:pPr>
      <w:bookmarkStart w:id="143" w:name="_Toc507936045"/>
      <w:bookmarkStart w:id="144" w:name="_Toc14190"/>
      <w:bookmarkStart w:id="145" w:name="_Toc506105853"/>
      <w:r>
        <w:rPr>
          <w:rFonts w:hint="eastAsia"/>
          <w:highlight w:val="none"/>
        </w:rPr>
        <w:t>6.4 评标程序及内容</w:t>
      </w:r>
      <w:bookmarkEnd w:id="143"/>
      <w:bookmarkEnd w:id="144"/>
      <w:bookmarkEnd w:id="145"/>
    </w:p>
    <w:p w14:paraId="41D6D36E">
      <w:pPr>
        <w:shd w:val="clear"/>
        <w:spacing w:line="360" w:lineRule="auto"/>
        <w:ind w:firstLine="480" w:firstLineChars="200"/>
        <w:outlineLvl w:val="2"/>
        <w:rPr>
          <w:rFonts w:hint="eastAsia" w:cs="仿宋"/>
          <w:highlight w:val="none"/>
        </w:rPr>
      </w:pPr>
      <w:bookmarkStart w:id="146" w:name="_Toc7157"/>
      <w:r>
        <w:rPr>
          <w:rFonts w:hint="eastAsia" w:cs="仿宋"/>
          <w:highlight w:val="none"/>
        </w:rPr>
        <w:t>6.4.1投标文件初步评标</w:t>
      </w:r>
      <w:bookmarkEnd w:id="146"/>
    </w:p>
    <w:p w14:paraId="1A2A8E43">
      <w:pPr>
        <w:shd w:val="clear"/>
        <w:spacing w:line="360" w:lineRule="auto"/>
        <w:ind w:firstLine="480" w:firstLineChars="200"/>
        <w:rPr>
          <w:rFonts w:cs="仿宋"/>
          <w:highlight w:val="none"/>
        </w:rPr>
      </w:pPr>
      <w:r>
        <w:rPr>
          <w:rFonts w:hint="eastAsia" w:cs="仿宋"/>
          <w:highlight w:val="none"/>
        </w:rPr>
        <w:t>6.4.1.1资格审查---是否满足对投标人的资格要求。</w:t>
      </w:r>
    </w:p>
    <w:p w14:paraId="508E5C64">
      <w:pPr>
        <w:shd w:val="clear"/>
        <w:spacing w:line="360" w:lineRule="auto"/>
        <w:ind w:firstLine="480" w:firstLineChars="200"/>
        <w:rPr>
          <w:rFonts w:cs="仿宋"/>
          <w:highlight w:val="none"/>
        </w:rPr>
      </w:pPr>
      <w:r>
        <w:rPr>
          <w:rFonts w:hint="eastAsia" w:cs="仿宋"/>
          <w:highlight w:val="none"/>
        </w:rPr>
        <w:t>6.4.1.2报价及报价组成表有计算或汇总错误时，按以下原则修正：</w:t>
      </w:r>
    </w:p>
    <w:p w14:paraId="2EE48A8F">
      <w:pPr>
        <w:shd w:val="clear"/>
        <w:spacing w:line="360" w:lineRule="auto"/>
        <w:ind w:firstLine="480" w:firstLineChars="200"/>
        <w:rPr>
          <w:rFonts w:cs="仿宋"/>
          <w:highlight w:val="none"/>
        </w:rPr>
      </w:pPr>
      <w:r>
        <w:rPr>
          <w:rFonts w:hint="eastAsia" w:cs="仿宋"/>
          <w:highlight w:val="none"/>
        </w:rPr>
        <w:t>（1）报价清单中的单价乘数量的乘积与该项目的合价不符时，应以单价为准，改正合价。</w:t>
      </w:r>
    </w:p>
    <w:p w14:paraId="080E4B8C">
      <w:pPr>
        <w:shd w:val="clear"/>
        <w:spacing w:line="360" w:lineRule="auto"/>
        <w:ind w:firstLine="480" w:firstLineChars="200"/>
        <w:rPr>
          <w:rFonts w:cs="仿宋"/>
          <w:highlight w:val="none"/>
        </w:rPr>
      </w:pPr>
      <w:r>
        <w:rPr>
          <w:rFonts w:hint="eastAsia" w:cs="仿宋"/>
          <w:highlight w:val="none"/>
        </w:rPr>
        <w:t>（2）若报价汇总表中的金额与相应的各分项报价清单中的合计金额不符时，以修正后的各分项报价清单中的合计金额为准，改正总报价。</w:t>
      </w:r>
    </w:p>
    <w:p w14:paraId="22409C4E">
      <w:pPr>
        <w:shd w:val="clear"/>
        <w:spacing w:line="360" w:lineRule="auto"/>
        <w:ind w:firstLine="480" w:firstLineChars="200"/>
        <w:rPr>
          <w:rFonts w:cs="仿宋"/>
          <w:highlight w:val="none"/>
        </w:rPr>
      </w:pPr>
      <w:r>
        <w:rPr>
          <w:rFonts w:hint="eastAsia" w:cs="仿宋"/>
          <w:highlight w:val="none"/>
        </w:rPr>
        <w:t>（3）评标委员会按以上原则对报价进行修正，修正的价格经投标人书面确认后具有约束力。</w:t>
      </w:r>
    </w:p>
    <w:p w14:paraId="14CD7D7E">
      <w:pPr>
        <w:shd w:val="clear"/>
        <w:spacing w:line="360" w:lineRule="auto"/>
        <w:ind w:firstLine="480" w:firstLineChars="200"/>
        <w:rPr>
          <w:rFonts w:cs="仿宋"/>
          <w:highlight w:val="none"/>
        </w:rPr>
      </w:pPr>
      <w:r>
        <w:rPr>
          <w:rFonts w:hint="eastAsia" w:cs="仿宋"/>
          <w:highlight w:val="none"/>
        </w:rPr>
        <w:t>6.4.1.3对需要文件进行审查，有以下情形之一的，为重大偏差，其投标文件符合性审查不通过</w:t>
      </w:r>
      <w:r>
        <w:rPr>
          <w:rFonts w:hint="eastAsia" w:cs="仿宋"/>
          <w:bCs/>
          <w:highlight w:val="none"/>
        </w:rPr>
        <w:t>作无效处理</w:t>
      </w:r>
      <w:r>
        <w:rPr>
          <w:rFonts w:hint="eastAsia" w:cs="仿宋"/>
          <w:highlight w:val="none"/>
        </w:rPr>
        <w:t>，不再进行详细评标：</w:t>
      </w:r>
    </w:p>
    <w:p w14:paraId="46DE0A4E">
      <w:pPr>
        <w:shd w:val="clear"/>
        <w:spacing w:line="360" w:lineRule="auto"/>
        <w:ind w:firstLine="480" w:firstLineChars="200"/>
        <w:rPr>
          <w:rFonts w:cs="仿宋"/>
          <w:bCs/>
          <w:highlight w:val="none"/>
        </w:rPr>
      </w:pPr>
      <w:r>
        <w:rPr>
          <w:rFonts w:hint="eastAsia" w:cs="仿宋"/>
          <w:bCs/>
          <w:highlight w:val="none"/>
        </w:rPr>
        <w:t>（1）提供的资格审查资料不满足招标文件要求的；</w:t>
      </w:r>
    </w:p>
    <w:p w14:paraId="1133D3C2">
      <w:pPr>
        <w:shd w:val="clear"/>
        <w:spacing w:line="360" w:lineRule="auto"/>
        <w:ind w:firstLine="480" w:firstLineChars="200"/>
        <w:rPr>
          <w:rFonts w:cs="仿宋"/>
          <w:bCs/>
          <w:highlight w:val="none"/>
        </w:rPr>
      </w:pPr>
      <w:r>
        <w:rPr>
          <w:rFonts w:hint="eastAsia" w:cs="仿宋"/>
          <w:bCs/>
          <w:highlight w:val="none"/>
        </w:rPr>
        <w:t>（2）没有按照招标文件要求缴纳投标保证金或提供银行保函的；</w:t>
      </w:r>
    </w:p>
    <w:p w14:paraId="631350B2">
      <w:pPr>
        <w:shd w:val="clear"/>
        <w:spacing w:line="360" w:lineRule="auto"/>
        <w:ind w:firstLine="480" w:firstLineChars="200"/>
        <w:rPr>
          <w:rFonts w:cs="仿宋"/>
          <w:bCs/>
          <w:highlight w:val="none"/>
        </w:rPr>
      </w:pPr>
      <w:r>
        <w:rPr>
          <w:rFonts w:hint="eastAsia" w:cs="仿宋"/>
          <w:bCs/>
          <w:highlight w:val="none"/>
        </w:rPr>
        <w:t>（3）投标文件未按招标文件要求盖章和签署的；</w:t>
      </w:r>
    </w:p>
    <w:p w14:paraId="2881FDAB">
      <w:pPr>
        <w:shd w:val="clear"/>
        <w:spacing w:line="360" w:lineRule="auto"/>
        <w:ind w:firstLine="480" w:firstLineChars="200"/>
        <w:rPr>
          <w:rFonts w:cs="仿宋"/>
          <w:bCs/>
          <w:highlight w:val="none"/>
        </w:rPr>
      </w:pPr>
      <w:r>
        <w:rPr>
          <w:rFonts w:hint="eastAsia" w:cs="仿宋"/>
          <w:bCs/>
          <w:highlight w:val="none"/>
        </w:rPr>
        <w:t>（4）经澄清，对报价的错误不接受修正的；</w:t>
      </w:r>
    </w:p>
    <w:p w14:paraId="4429E800">
      <w:pPr>
        <w:shd w:val="clear"/>
        <w:spacing w:line="360" w:lineRule="auto"/>
        <w:ind w:firstLine="480" w:firstLineChars="200"/>
        <w:rPr>
          <w:rFonts w:cs="仿宋"/>
          <w:bCs/>
          <w:highlight w:val="none"/>
        </w:rPr>
      </w:pPr>
      <w:r>
        <w:rPr>
          <w:rFonts w:hint="eastAsia" w:cs="仿宋"/>
          <w:bCs/>
          <w:highlight w:val="none"/>
        </w:rPr>
        <w:t>（5）对招标范围和工作内容有实质性偏差的；</w:t>
      </w:r>
    </w:p>
    <w:p w14:paraId="426CE907">
      <w:pPr>
        <w:shd w:val="clear"/>
        <w:spacing w:line="360" w:lineRule="auto"/>
        <w:ind w:firstLine="480" w:firstLineChars="200"/>
        <w:rPr>
          <w:rFonts w:cs="仿宋"/>
          <w:bCs/>
          <w:highlight w:val="none"/>
        </w:rPr>
      </w:pPr>
      <w:r>
        <w:rPr>
          <w:rFonts w:hint="eastAsia" w:cs="仿宋"/>
          <w:bCs/>
          <w:highlight w:val="none"/>
        </w:rPr>
        <w:t>（6）主要性能指标达不到招标文件要求的</w:t>
      </w:r>
    </w:p>
    <w:p w14:paraId="79F8EAB9">
      <w:pPr>
        <w:shd w:val="clear"/>
        <w:spacing w:line="360" w:lineRule="auto"/>
        <w:ind w:firstLine="480" w:firstLineChars="200"/>
        <w:rPr>
          <w:rFonts w:cs="仿宋"/>
          <w:bCs/>
          <w:highlight w:val="none"/>
        </w:rPr>
      </w:pPr>
      <w:r>
        <w:rPr>
          <w:rFonts w:hint="eastAsia" w:cs="仿宋"/>
          <w:bCs/>
          <w:highlight w:val="none"/>
        </w:rPr>
        <w:t>（7））有违反法律法规、弄虚作假的。</w:t>
      </w:r>
    </w:p>
    <w:p w14:paraId="4B7F2808">
      <w:pPr>
        <w:shd w:val="clear"/>
        <w:spacing w:line="360" w:lineRule="auto"/>
        <w:ind w:firstLine="480" w:firstLineChars="200"/>
        <w:rPr>
          <w:rFonts w:cs="仿宋"/>
          <w:highlight w:val="none"/>
        </w:rPr>
      </w:pPr>
      <w:r>
        <w:rPr>
          <w:rFonts w:hint="eastAsia" w:cs="仿宋"/>
          <w:highlight w:val="none"/>
        </w:rPr>
        <w:t>6.4.1.4投标文件澄清</w:t>
      </w:r>
    </w:p>
    <w:p w14:paraId="33AF0958">
      <w:pPr>
        <w:shd w:val="clear"/>
        <w:spacing w:line="360" w:lineRule="auto"/>
        <w:ind w:firstLine="480" w:firstLineChars="200"/>
        <w:rPr>
          <w:rFonts w:cs="仿宋"/>
          <w:highlight w:val="none"/>
        </w:rPr>
      </w:pPr>
      <w:r>
        <w:rPr>
          <w:rFonts w:hint="eastAsia" w:cs="仿宋"/>
          <w:highlight w:val="none"/>
        </w:rPr>
        <w:t>（1）投标文件中有含义不明确的内容、明显文字或者计算错误，评标委员会认为需要投标人做出必要的澄清、说明、或者对细微偏差进行补正的，提出澄清问题。</w:t>
      </w:r>
    </w:p>
    <w:p w14:paraId="2D0F03DB">
      <w:pPr>
        <w:shd w:val="clear"/>
        <w:spacing w:line="360" w:lineRule="auto"/>
        <w:ind w:firstLine="480" w:firstLineChars="200"/>
        <w:rPr>
          <w:rFonts w:cs="仿宋"/>
          <w:highlight w:val="none"/>
        </w:rPr>
      </w:pPr>
      <w:r>
        <w:rPr>
          <w:rFonts w:hint="eastAsia" w:cs="仿宋"/>
          <w:highlight w:val="none"/>
        </w:rPr>
        <w:t>（2）评标委员会的澄清问题不得要求或提出对投标文件实质性内容进行修改，澄清问题由评标委员会主任确认后发出。</w:t>
      </w:r>
    </w:p>
    <w:p w14:paraId="36EFAF86">
      <w:pPr>
        <w:shd w:val="clear"/>
        <w:spacing w:line="360" w:lineRule="auto"/>
        <w:ind w:firstLine="480" w:firstLineChars="200"/>
        <w:rPr>
          <w:rFonts w:cs="仿宋"/>
          <w:highlight w:val="none"/>
        </w:rPr>
      </w:pPr>
      <w:r>
        <w:rPr>
          <w:rFonts w:hint="eastAsia" w:cs="仿宋"/>
          <w:highlight w:val="none"/>
        </w:rPr>
        <w:t>（3）投标人的答复由其授权代表签字、加盖公章、签署日期后按要求发送，不得对原投标文件实质性内容进行修改，投标人的书面澄清、说明和补正属于投标文件的组成部分。</w:t>
      </w:r>
    </w:p>
    <w:p w14:paraId="07D31A87">
      <w:pPr>
        <w:shd w:val="clear"/>
        <w:spacing w:line="360" w:lineRule="auto"/>
        <w:ind w:firstLine="480" w:firstLineChars="200"/>
        <w:rPr>
          <w:rFonts w:cs="仿宋"/>
          <w:highlight w:val="none"/>
        </w:rPr>
      </w:pPr>
      <w:r>
        <w:rPr>
          <w:rFonts w:hint="eastAsia" w:cs="仿宋"/>
          <w:highlight w:val="none"/>
        </w:rPr>
        <w:t>（4）评标委员会不接受投标人主动提出的澄清、说明。</w:t>
      </w:r>
    </w:p>
    <w:p w14:paraId="18C49B10">
      <w:pPr>
        <w:shd w:val="clear"/>
        <w:spacing w:line="360" w:lineRule="auto"/>
        <w:ind w:firstLine="480" w:firstLineChars="200"/>
        <w:rPr>
          <w:rFonts w:cs="仿宋"/>
          <w:highlight w:val="none"/>
        </w:rPr>
      </w:pPr>
      <w:r>
        <w:rPr>
          <w:rFonts w:hint="eastAsia" w:cs="仿宋"/>
          <w:highlight w:val="none"/>
        </w:rPr>
        <w:t>（5）评标委员会的澄清问题和投标人的答复均以书面方式进行。</w:t>
      </w:r>
    </w:p>
    <w:p w14:paraId="61EB02B1">
      <w:pPr>
        <w:shd w:val="clear"/>
        <w:spacing w:line="360" w:lineRule="auto"/>
        <w:ind w:firstLine="480" w:firstLineChars="200"/>
        <w:outlineLvl w:val="2"/>
        <w:rPr>
          <w:rFonts w:hint="eastAsia" w:cs="仿宋"/>
          <w:highlight w:val="none"/>
        </w:rPr>
      </w:pPr>
      <w:bookmarkStart w:id="147" w:name="_Toc19725"/>
      <w:r>
        <w:rPr>
          <w:rFonts w:hint="eastAsia" w:cs="仿宋"/>
          <w:highlight w:val="none"/>
        </w:rPr>
        <w:t>6.4.2投标文件详细评标</w:t>
      </w:r>
      <w:bookmarkEnd w:id="147"/>
    </w:p>
    <w:p w14:paraId="3FD7DEAD">
      <w:pPr>
        <w:shd w:val="clear"/>
        <w:spacing w:line="360" w:lineRule="auto"/>
        <w:ind w:firstLine="480" w:firstLineChars="200"/>
        <w:rPr>
          <w:rFonts w:cs="仿宋"/>
          <w:highlight w:val="none"/>
        </w:rPr>
      </w:pPr>
      <w:r>
        <w:rPr>
          <w:rFonts w:hint="eastAsia" w:cs="仿宋"/>
          <w:highlight w:val="none"/>
        </w:rPr>
        <w:t>评标委员会成员对通过初步评标的投标文件进行详细评标与打分排序。</w:t>
      </w:r>
    </w:p>
    <w:p w14:paraId="1268D868">
      <w:pPr>
        <w:shd w:val="clear"/>
        <w:spacing w:line="360" w:lineRule="auto"/>
        <w:ind w:firstLine="480" w:firstLineChars="200"/>
        <w:outlineLvl w:val="2"/>
        <w:rPr>
          <w:rFonts w:cs="仿宋"/>
          <w:highlight w:val="none"/>
        </w:rPr>
      </w:pPr>
      <w:bookmarkStart w:id="148" w:name="_Toc25964"/>
      <w:r>
        <w:rPr>
          <w:rFonts w:hint="eastAsia" w:cs="仿宋"/>
          <w:highlight w:val="none"/>
        </w:rPr>
        <w:t>6.4.3评标结果</w:t>
      </w:r>
      <w:bookmarkEnd w:id="148"/>
    </w:p>
    <w:p w14:paraId="0AC67ABF">
      <w:pPr>
        <w:shd w:val="clear"/>
        <w:spacing w:line="360" w:lineRule="auto"/>
        <w:ind w:firstLine="480" w:firstLineChars="200"/>
        <w:rPr>
          <w:rFonts w:cs="仿宋"/>
          <w:highlight w:val="none"/>
        </w:rPr>
      </w:pPr>
      <w:r>
        <w:rPr>
          <w:rFonts w:hint="eastAsia" w:cs="仿宋"/>
          <w:highlight w:val="none"/>
        </w:rPr>
        <w:t>6.4.3.1评标委员会按照评标办法推荐中标候选人，具体的中标候选人数量见第三章5节2款。</w:t>
      </w:r>
    </w:p>
    <w:p w14:paraId="322CA249">
      <w:pPr>
        <w:shd w:val="clear"/>
        <w:spacing w:line="360" w:lineRule="auto"/>
        <w:ind w:firstLine="480" w:firstLineChars="200"/>
        <w:rPr>
          <w:rFonts w:cs="仿宋"/>
          <w:highlight w:val="none"/>
        </w:rPr>
      </w:pPr>
      <w:r>
        <w:rPr>
          <w:rFonts w:hint="eastAsia" w:cs="仿宋"/>
          <w:highlight w:val="none"/>
        </w:rPr>
        <w:t>6.4.3.2评标委员会完成评标后，向招标人提交评标报告。</w:t>
      </w:r>
    </w:p>
    <w:p w14:paraId="736830AC">
      <w:pPr>
        <w:pStyle w:val="64"/>
        <w:shd w:val="clear"/>
        <w:ind w:left="851" w:leftChars="0" w:hanging="851" w:firstLineChars="0"/>
        <w:outlineLvl w:val="0"/>
        <w:rPr>
          <w:rStyle w:val="96"/>
          <w:b/>
          <w:bCs/>
          <w:highlight w:val="none"/>
        </w:rPr>
      </w:pPr>
      <w:bookmarkStart w:id="149" w:name="_Toc506105854"/>
      <w:bookmarkStart w:id="150" w:name="_Toc589"/>
      <w:bookmarkStart w:id="151" w:name="_Toc507936046"/>
      <w:r>
        <w:rPr>
          <w:rStyle w:val="96"/>
          <w:rFonts w:hint="eastAsia"/>
          <w:b/>
          <w:bCs/>
          <w:highlight w:val="none"/>
        </w:rPr>
        <w:t>7.合同授予</w:t>
      </w:r>
      <w:bookmarkEnd w:id="149"/>
      <w:bookmarkEnd w:id="150"/>
      <w:bookmarkEnd w:id="151"/>
    </w:p>
    <w:p w14:paraId="3D64AE01">
      <w:pPr>
        <w:shd w:val="clear"/>
        <w:spacing w:line="360" w:lineRule="auto"/>
        <w:ind w:firstLine="480" w:firstLineChars="200"/>
        <w:outlineLvl w:val="1"/>
        <w:rPr>
          <w:rFonts w:hint="eastAsia" w:cs="仿宋"/>
          <w:highlight w:val="none"/>
        </w:rPr>
      </w:pPr>
      <w:bookmarkStart w:id="152" w:name="_Toc32475"/>
      <w:r>
        <w:rPr>
          <w:rFonts w:hint="eastAsia" w:cs="仿宋"/>
          <w:highlight w:val="none"/>
        </w:rPr>
        <w:t>7.1中标候选人履约能力审查</w:t>
      </w:r>
      <w:bookmarkEnd w:id="152"/>
    </w:p>
    <w:p w14:paraId="5997151B">
      <w:pPr>
        <w:shd w:val="clear"/>
        <w:spacing w:line="360" w:lineRule="auto"/>
        <w:ind w:firstLine="480" w:firstLineChars="200"/>
        <w:rPr>
          <w:rFonts w:hint="eastAsia" w:cs="仿宋"/>
          <w:highlight w:val="none"/>
        </w:rPr>
      </w:pPr>
      <w:r>
        <w:rPr>
          <w:rFonts w:hint="eastAsia" w:cs="仿宋"/>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10FEF1B6">
      <w:pPr>
        <w:shd w:val="clear"/>
        <w:spacing w:line="360" w:lineRule="auto"/>
        <w:ind w:firstLine="480" w:firstLineChars="200"/>
        <w:outlineLvl w:val="1"/>
        <w:rPr>
          <w:rFonts w:hint="eastAsia" w:cs="仿宋"/>
          <w:highlight w:val="none"/>
        </w:rPr>
      </w:pPr>
      <w:bookmarkStart w:id="153" w:name="_Toc16396"/>
      <w:r>
        <w:rPr>
          <w:rFonts w:hint="eastAsia" w:cs="仿宋"/>
          <w:highlight w:val="none"/>
        </w:rPr>
        <w:t>7.2评标结果异议</w:t>
      </w:r>
      <w:bookmarkEnd w:id="153"/>
    </w:p>
    <w:p w14:paraId="0B80D521">
      <w:pPr>
        <w:shd w:val="clear"/>
        <w:spacing w:line="360" w:lineRule="auto"/>
        <w:ind w:firstLine="480" w:firstLineChars="200"/>
        <w:rPr>
          <w:rFonts w:hint="eastAsia" w:cs="仿宋"/>
          <w:highlight w:val="none"/>
        </w:rPr>
      </w:pPr>
      <w:r>
        <w:rPr>
          <w:rFonts w:hint="eastAsia" w:cs="仿宋"/>
          <w:highlight w:val="none"/>
        </w:rPr>
        <w:t>投标人或者其他利害关系人对评标结果有异议的，应当在中标候选人公示期间提出。招标人将在收到异议之日起3日内作出答复。</w:t>
      </w:r>
    </w:p>
    <w:p w14:paraId="33C9339E">
      <w:pPr>
        <w:shd w:val="clear"/>
        <w:spacing w:line="360" w:lineRule="auto"/>
        <w:ind w:firstLine="480" w:firstLineChars="200"/>
        <w:outlineLvl w:val="1"/>
        <w:rPr>
          <w:rFonts w:hint="eastAsia" w:cs="仿宋"/>
          <w:highlight w:val="none"/>
        </w:rPr>
      </w:pPr>
      <w:bookmarkStart w:id="154" w:name="_Toc1686"/>
      <w:r>
        <w:rPr>
          <w:rFonts w:hint="eastAsia" w:cs="仿宋"/>
          <w:highlight w:val="none"/>
        </w:rPr>
        <w:t>7.3定标</w:t>
      </w:r>
      <w:bookmarkEnd w:id="154"/>
    </w:p>
    <w:p w14:paraId="327FBBBB">
      <w:pPr>
        <w:shd w:val="clear"/>
        <w:spacing w:line="360" w:lineRule="auto"/>
        <w:ind w:firstLine="480" w:firstLineChars="200"/>
        <w:rPr>
          <w:rFonts w:hint="eastAsia" w:cs="仿宋"/>
          <w:highlight w:val="none"/>
        </w:rPr>
      </w:pPr>
      <w:r>
        <w:rPr>
          <w:rFonts w:hint="eastAsia" w:cs="仿宋"/>
          <w:highlight w:val="none"/>
        </w:rPr>
        <w:t>按照投标人须知前附表的规定，招标人或招标人授权的评标委员会依法确定中标人。</w:t>
      </w:r>
    </w:p>
    <w:p w14:paraId="4B0B071A">
      <w:pPr>
        <w:shd w:val="clear"/>
        <w:spacing w:line="360" w:lineRule="auto"/>
        <w:ind w:firstLine="480" w:firstLineChars="200"/>
        <w:outlineLvl w:val="1"/>
        <w:rPr>
          <w:rFonts w:hint="eastAsia" w:cs="仿宋"/>
          <w:highlight w:val="none"/>
        </w:rPr>
      </w:pPr>
      <w:bookmarkStart w:id="155" w:name="_Toc18581"/>
      <w:r>
        <w:rPr>
          <w:rFonts w:hint="eastAsia" w:cs="仿宋"/>
          <w:highlight w:val="none"/>
        </w:rPr>
        <w:t>7.4中标通知</w:t>
      </w:r>
      <w:bookmarkEnd w:id="155"/>
    </w:p>
    <w:p w14:paraId="3DF24E42">
      <w:pPr>
        <w:shd w:val="clear"/>
        <w:spacing w:line="360" w:lineRule="auto"/>
        <w:ind w:firstLine="480" w:firstLineChars="200"/>
        <w:rPr>
          <w:rFonts w:hint="eastAsia" w:cs="仿宋"/>
          <w:highlight w:val="none"/>
        </w:rPr>
      </w:pPr>
      <w:r>
        <w:rPr>
          <w:rFonts w:hint="eastAsia" w:cs="仿宋"/>
          <w:highlight w:val="none"/>
        </w:rPr>
        <w:t>在本章第3.3款规定的投标有效期内，中标结果通过</w:t>
      </w:r>
      <w:r>
        <w:rPr>
          <w:rFonts w:hint="eastAsia"/>
          <w:highlight w:val="none"/>
        </w:rPr>
        <w:t>济钢集团有限公司阳光购销平台（网址：</w:t>
      </w:r>
      <w:r>
        <w:rPr>
          <w:rFonts w:hint="eastAsia"/>
          <w:highlight w:val="none"/>
        </w:rPr>
        <w:fldChar w:fldCharType="begin"/>
      </w:r>
      <w:r>
        <w:rPr>
          <w:rFonts w:hint="eastAsia"/>
          <w:highlight w:val="none"/>
        </w:rPr>
        <w:instrText xml:space="preserve"> HYPERLINK "http://bidding.jigang.com.cn" </w:instrText>
      </w:r>
      <w:r>
        <w:rPr>
          <w:rFonts w:hint="eastAsia"/>
          <w:highlight w:val="none"/>
        </w:rPr>
        <w:fldChar w:fldCharType="separate"/>
      </w:r>
      <w:r>
        <w:rPr>
          <w:rFonts w:hint="eastAsia"/>
          <w:highlight w:val="none"/>
        </w:rPr>
        <w:t>http://bidding.jigang.com.cn</w:t>
      </w:r>
      <w:r>
        <w:rPr>
          <w:rFonts w:hint="eastAsia"/>
          <w:highlight w:val="none"/>
        </w:rPr>
        <w:fldChar w:fldCharType="end"/>
      </w:r>
      <w:r>
        <w:rPr>
          <w:rFonts w:hint="eastAsia"/>
          <w:highlight w:val="none"/>
        </w:rPr>
        <w:t xml:space="preserve">/） </w:t>
      </w:r>
      <w:r>
        <w:rPr>
          <w:rFonts w:hint="eastAsia" w:cs="仿宋"/>
          <w:highlight w:val="none"/>
        </w:rPr>
        <w:t>公示三天。公示期结束后，招标人以书面形式向中标人发出中标通知书。</w:t>
      </w:r>
    </w:p>
    <w:p w14:paraId="6872E1B3">
      <w:pPr>
        <w:shd w:val="clear"/>
        <w:spacing w:line="360" w:lineRule="auto"/>
        <w:ind w:firstLine="480" w:firstLineChars="200"/>
        <w:outlineLvl w:val="1"/>
        <w:rPr>
          <w:rFonts w:hint="eastAsia" w:cs="仿宋"/>
          <w:highlight w:val="none"/>
        </w:rPr>
      </w:pPr>
      <w:bookmarkStart w:id="156" w:name="_Toc26100"/>
      <w:r>
        <w:rPr>
          <w:rFonts w:hint="eastAsia" w:cs="仿宋"/>
          <w:highlight w:val="none"/>
        </w:rPr>
        <w:t>7.5履约保证金</w:t>
      </w:r>
      <w:bookmarkEnd w:id="156"/>
    </w:p>
    <w:p w14:paraId="0C2E058D">
      <w:pPr>
        <w:shd w:val="clear"/>
        <w:spacing w:line="360" w:lineRule="auto"/>
        <w:ind w:firstLine="480" w:firstLineChars="200"/>
        <w:rPr>
          <w:rFonts w:hint="eastAsia" w:cs="仿宋"/>
          <w:highlight w:val="none"/>
        </w:rPr>
      </w:pPr>
      <w:r>
        <w:rPr>
          <w:rFonts w:hint="eastAsia" w:cs="仿宋"/>
          <w:highlight w:val="none"/>
        </w:rPr>
        <w:t>7.5.1在签订合同前，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14:paraId="6410D8E7">
      <w:pPr>
        <w:shd w:val="clear"/>
        <w:spacing w:line="360" w:lineRule="auto"/>
        <w:ind w:firstLine="480" w:firstLineChars="200"/>
        <w:rPr>
          <w:rFonts w:hint="eastAsia" w:cs="仿宋"/>
          <w:highlight w:val="none"/>
        </w:rPr>
      </w:pPr>
      <w:r>
        <w:rPr>
          <w:rFonts w:hint="eastAsia" w:cs="仿宋"/>
          <w:highlight w:val="none"/>
        </w:rPr>
        <w:t>7.5.2中标人不能按本章第7.5.1项要求提交履约保证金的，视为放弃中标，其投标保证金不予退还，给招标人造成的损失超过投标保证金数额的，中标人还应当对超过部分予以赔偿。</w:t>
      </w:r>
    </w:p>
    <w:p w14:paraId="0BE31C25">
      <w:pPr>
        <w:shd w:val="clear"/>
        <w:spacing w:line="360" w:lineRule="auto"/>
        <w:ind w:firstLine="480" w:firstLineChars="200"/>
        <w:outlineLvl w:val="1"/>
        <w:rPr>
          <w:rFonts w:hint="eastAsia" w:cs="仿宋"/>
          <w:highlight w:val="none"/>
        </w:rPr>
      </w:pPr>
      <w:bookmarkStart w:id="157" w:name="_Toc14125"/>
      <w:r>
        <w:rPr>
          <w:rFonts w:hint="eastAsia" w:cs="仿宋"/>
          <w:highlight w:val="none"/>
        </w:rPr>
        <w:t>7.6 中标服务费：见投标人须知前附表。</w:t>
      </w:r>
      <w:bookmarkEnd w:id="157"/>
    </w:p>
    <w:p w14:paraId="20C8FD40">
      <w:pPr>
        <w:shd w:val="clear"/>
        <w:spacing w:line="360" w:lineRule="auto"/>
        <w:ind w:firstLine="480" w:firstLineChars="200"/>
        <w:outlineLvl w:val="1"/>
        <w:rPr>
          <w:rFonts w:hint="eastAsia" w:cs="仿宋"/>
          <w:highlight w:val="none"/>
        </w:rPr>
      </w:pPr>
      <w:bookmarkStart w:id="158" w:name="_Toc3379"/>
      <w:r>
        <w:rPr>
          <w:rFonts w:hint="eastAsia" w:cs="仿宋"/>
          <w:highlight w:val="none"/>
        </w:rPr>
        <w:t>7.7签订合同</w:t>
      </w:r>
      <w:bookmarkEnd w:id="158"/>
    </w:p>
    <w:p w14:paraId="72F00C0F">
      <w:pPr>
        <w:shd w:val="clear"/>
        <w:spacing w:line="360" w:lineRule="auto"/>
        <w:ind w:firstLine="480" w:firstLineChars="200"/>
        <w:rPr>
          <w:rFonts w:hint="eastAsia" w:cs="仿宋"/>
          <w:highlight w:val="none"/>
        </w:rPr>
      </w:pPr>
      <w:r>
        <w:rPr>
          <w:rFonts w:hint="eastAsia" w:cs="仿宋"/>
          <w:highlight w:val="none"/>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173C42F">
      <w:pPr>
        <w:shd w:val="clear"/>
        <w:spacing w:line="360" w:lineRule="auto"/>
        <w:ind w:firstLine="480" w:firstLineChars="200"/>
        <w:rPr>
          <w:rFonts w:hint="eastAsia" w:cs="仿宋"/>
          <w:highlight w:val="none"/>
        </w:rPr>
      </w:pPr>
      <w:r>
        <w:rPr>
          <w:rFonts w:hint="eastAsia" w:cs="仿宋"/>
          <w:highlight w:val="none"/>
        </w:rPr>
        <w:t>7.7.2发出中标通知书后，招标人无正当理由拒签合同，或者在签订合同时向中标人提出附加条件的，招标人向中标人退还投标保证金；给中标人造成损失的，还应当赔偿损失。</w:t>
      </w:r>
    </w:p>
    <w:p w14:paraId="711CB6E6">
      <w:pPr>
        <w:pStyle w:val="64"/>
        <w:shd w:val="clear"/>
        <w:ind w:left="851" w:leftChars="0" w:hanging="851" w:firstLineChars="0"/>
        <w:outlineLvl w:val="0"/>
        <w:rPr>
          <w:rStyle w:val="96"/>
          <w:rFonts w:hint="eastAsia"/>
          <w:b/>
          <w:bCs/>
          <w:highlight w:val="none"/>
        </w:rPr>
      </w:pPr>
      <w:bookmarkStart w:id="159" w:name="_Toc506105859"/>
      <w:bookmarkStart w:id="160" w:name="_Toc507936051"/>
      <w:bookmarkStart w:id="161" w:name="_Toc7427"/>
      <w:r>
        <w:rPr>
          <w:rStyle w:val="96"/>
          <w:rFonts w:hint="eastAsia"/>
          <w:b/>
          <w:bCs/>
          <w:highlight w:val="none"/>
        </w:rPr>
        <w:t>8.重新</w:t>
      </w:r>
      <w:bookmarkEnd w:id="159"/>
      <w:bookmarkEnd w:id="160"/>
      <w:bookmarkStart w:id="162" w:name="_Toc506105860"/>
      <w:r>
        <w:rPr>
          <w:rStyle w:val="96"/>
          <w:rFonts w:hint="eastAsia"/>
          <w:b/>
          <w:bCs/>
          <w:highlight w:val="none"/>
        </w:rPr>
        <w:t>招标</w:t>
      </w:r>
      <w:bookmarkEnd w:id="161"/>
    </w:p>
    <w:bookmarkEnd w:id="162"/>
    <w:p w14:paraId="456E0DA6">
      <w:pPr>
        <w:pStyle w:val="59"/>
        <w:shd w:val="clear"/>
        <w:ind w:left="851" w:leftChars="0" w:hanging="851" w:firstLineChars="0"/>
        <w:outlineLvl w:val="1"/>
        <w:rPr>
          <w:rFonts w:hint="eastAsia"/>
          <w:highlight w:val="none"/>
        </w:rPr>
      </w:pPr>
      <w:bookmarkStart w:id="163" w:name="_Toc507936052"/>
      <w:bookmarkStart w:id="164" w:name="_Toc11033"/>
      <w:r>
        <w:rPr>
          <w:rFonts w:hint="eastAsia"/>
          <w:highlight w:val="none"/>
        </w:rPr>
        <w:t>8.1重新</w:t>
      </w:r>
      <w:bookmarkEnd w:id="163"/>
      <w:r>
        <w:rPr>
          <w:rFonts w:hint="eastAsia"/>
          <w:highlight w:val="none"/>
        </w:rPr>
        <w:t>招标</w:t>
      </w:r>
      <w:bookmarkEnd w:id="164"/>
    </w:p>
    <w:p w14:paraId="7AAD32E6">
      <w:pPr>
        <w:shd w:val="clear"/>
        <w:spacing w:line="360" w:lineRule="auto"/>
        <w:rPr>
          <w:rFonts w:cs="仿宋"/>
          <w:sz w:val="28"/>
          <w:szCs w:val="28"/>
          <w:highlight w:val="none"/>
        </w:rPr>
      </w:pPr>
      <w:r>
        <w:rPr>
          <w:rFonts w:hint="eastAsia" w:cs="仿宋"/>
          <w:highlight w:val="none"/>
        </w:rPr>
        <w:t>详见投标人须知前附表</w:t>
      </w:r>
    </w:p>
    <w:p w14:paraId="30510A57">
      <w:pPr>
        <w:pStyle w:val="64"/>
        <w:shd w:val="clear"/>
        <w:ind w:left="851" w:leftChars="0" w:hanging="851" w:firstLineChars="0"/>
        <w:outlineLvl w:val="0"/>
        <w:rPr>
          <w:rStyle w:val="96"/>
          <w:b/>
          <w:bCs/>
          <w:highlight w:val="none"/>
        </w:rPr>
      </w:pPr>
      <w:bookmarkStart w:id="165" w:name="_Toc11957"/>
      <w:bookmarkStart w:id="166" w:name="_Toc144974542"/>
      <w:bookmarkStart w:id="167" w:name="_Toc507936053"/>
      <w:bookmarkStart w:id="168" w:name="_Toc152045574"/>
      <w:bookmarkStart w:id="169" w:name="_Toc446434333"/>
      <w:bookmarkStart w:id="170" w:name="_Toc152042350"/>
      <w:bookmarkStart w:id="171" w:name="_Toc312072272"/>
      <w:bookmarkStart w:id="172" w:name="_Toc269310962"/>
      <w:r>
        <w:rPr>
          <w:rStyle w:val="96"/>
          <w:b/>
          <w:bCs/>
          <w:highlight w:val="none"/>
        </w:rPr>
        <w:t xml:space="preserve">9. </w:t>
      </w:r>
      <w:r>
        <w:rPr>
          <w:rStyle w:val="96"/>
          <w:rFonts w:hint="eastAsia"/>
          <w:b/>
          <w:bCs/>
          <w:highlight w:val="none"/>
        </w:rPr>
        <w:t>纪律和监督</w:t>
      </w:r>
      <w:bookmarkEnd w:id="165"/>
      <w:bookmarkEnd w:id="166"/>
      <w:bookmarkEnd w:id="167"/>
      <w:bookmarkEnd w:id="168"/>
      <w:bookmarkEnd w:id="169"/>
      <w:bookmarkEnd w:id="170"/>
      <w:bookmarkEnd w:id="171"/>
      <w:bookmarkEnd w:id="172"/>
    </w:p>
    <w:p w14:paraId="79E6B2CB">
      <w:pPr>
        <w:pStyle w:val="59"/>
        <w:shd w:val="clear"/>
        <w:ind w:left="851" w:leftChars="0" w:hanging="851" w:firstLineChars="0"/>
        <w:outlineLvl w:val="1"/>
        <w:rPr>
          <w:rFonts w:hint="eastAsia"/>
          <w:highlight w:val="none"/>
        </w:rPr>
      </w:pPr>
      <w:bookmarkStart w:id="173" w:name="_Toc507936054"/>
      <w:bookmarkStart w:id="174" w:name="_Toc9982"/>
      <w:bookmarkStart w:id="175" w:name="_Toc152045580"/>
      <w:bookmarkStart w:id="176" w:name="_Toc144974547"/>
      <w:bookmarkStart w:id="177" w:name="_Toc152042357"/>
      <w:bookmarkStart w:id="178" w:name="_Toc269310968"/>
      <w:r>
        <w:rPr>
          <w:rFonts w:hint="eastAsia"/>
          <w:highlight w:val="none"/>
        </w:rPr>
        <w:t>9.1对招标人的纪律要求</w:t>
      </w:r>
      <w:bookmarkEnd w:id="173"/>
      <w:bookmarkEnd w:id="174"/>
    </w:p>
    <w:p w14:paraId="409E339C">
      <w:pPr>
        <w:shd w:val="clear"/>
        <w:spacing w:line="400" w:lineRule="exact"/>
        <w:ind w:firstLine="480" w:firstLineChars="200"/>
        <w:rPr>
          <w:highlight w:val="none"/>
        </w:rPr>
      </w:pPr>
      <w:r>
        <w:rPr>
          <w:rFonts w:hint="eastAsia"/>
          <w:highlight w:val="none"/>
        </w:rPr>
        <w:t>招标人不得泄漏招标活动中应当保密的情况和资料，不得与投标人串通损害国家利益、社会公共利益和他人合法权益。</w:t>
      </w:r>
    </w:p>
    <w:p w14:paraId="5F7E9547">
      <w:pPr>
        <w:pStyle w:val="59"/>
        <w:shd w:val="clear"/>
        <w:ind w:left="851" w:leftChars="0" w:hanging="851" w:firstLineChars="0"/>
        <w:outlineLvl w:val="1"/>
        <w:rPr>
          <w:rFonts w:hint="eastAsia"/>
          <w:highlight w:val="none"/>
        </w:rPr>
      </w:pPr>
      <w:bookmarkStart w:id="179" w:name="_Toc20154"/>
      <w:bookmarkStart w:id="180" w:name="_Toc507936055"/>
      <w:r>
        <w:rPr>
          <w:rFonts w:hint="eastAsia"/>
          <w:highlight w:val="none"/>
        </w:rPr>
        <w:t>9.2对投标人的纪律要求</w:t>
      </w:r>
      <w:bookmarkEnd w:id="179"/>
      <w:bookmarkEnd w:id="180"/>
    </w:p>
    <w:p w14:paraId="3005C101">
      <w:pPr>
        <w:shd w:val="clear"/>
        <w:spacing w:line="400" w:lineRule="exact"/>
        <w:ind w:firstLine="480" w:firstLineChars="200"/>
        <w:rPr>
          <w:highlight w:val="none"/>
        </w:rPr>
      </w:pPr>
      <w:r>
        <w:rPr>
          <w:rFonts w:hint="eastAsia"/>
          <w:highlight w:val="none"/>
        </w:rPr>
        <w:t>投标人不得相互串通或者与招标人串通，不得向招标人或者评标委员会成员行贿谋取</w:t>
      </w:r>
      <w:r>
        <w:rPr>
          <w:rFonts w:hint="eastAsia" w:cs="仿宋"/>
          <w:highlight w:val="none"/>
        </w:rPr>
        <w:t>中标</w:t>
      </w:r>
      <w:r>
        <w:rPr>
          <w:rFonts w:hint="eastAsia"/>
          <w:highlight w:val="none"/>
        </w:rPr>
        <w:t>，不得以他人名义参加招标或者以其他方式弄虚作假骗取</w:t>
      </w:r>
      <w:r>
        <w:rPr>
          <w:rFonts w:hint="eastAsia" w:cs="仿宋"/>
          <w:highlight w:val="none"/>
        </w:rPr>
        <w:t>中标</w:t>
      </w:r>
      <w:r>
        <w:rPr>
          <w:rFonts w:hint="eastAsia"/>
          <w:highlight w:val="none"/>
        </w:rPr>
        <w:t>；投标人不得以任何方式干扰、影响评标工作。</w:t>
      </w:r>
    </w:p>
    <w:p w14:paraId="0FB17CE7">
      <w:pPr>
        <w:pStyle w:val="59"/>
        <w:shd w:val="clear"/>
        <w:ind w:left="851" w:leftChars="0" w:hanging="851" w:firstLineChars="0"/>
        <w:outlineLvl w:val="1"/>
        <w:rPr>
          <w:highlight w:val="none"/>
        </w:rPr>
      </w:pPr>
      <w:bookmarkStart w:id="181" w:name="_Toc6128"/>
      <w:bookmarkStart w:id="182" w:name="_Toc446434336"/>
      <w:bookmarkStart w:id="183" w:name="_Toc507936056"/>
      <w:bookmarkStart w:id="184" w:name="_Toc312072275"/>
      <w:r>
        <w:rPr>
          <w:highlight w:val="none"/>
        </w:rPr>
        <w:t xml:space="preserve">9.3 </w:t>
      </w:r>
      <w:r>
        <w:rPr>
          <w:rFonts w:hint="eastAsia"/>
          <w:highlight w:val="none"/>
        </w:rPr>
        <w:t>对评标委员会成员的纪律要求</w:t>
      </w:r>
      <w:bookmarkEnd w:id="181"/>
      <w:bookmarkEnd w:id="182"/>
      <w:bookmarkEnd w:id="183"/>
      <w:bookmarkEnd w:id="184"/>
    </w:p>
    <w:p w14:paraId="463CA9FC">
      <w:pPr>
        <w:shd w:val="clear"/>
        <w:spacing w:line="400" w:lineRule="exact"/>
        <w:ind w:firstLine="480" w:firstLineChars="200"/>
        <w:rPr>
          <w:highlight w:val="none"/>
        </w:rPr>
      </w:pPr>
      <w:r>
        <w:rPr>
          <w:rFonts w:hint="eastAsia"/>
          <w:highlight w:val="none"/>
        </w:rPr>
        <w:t>评标委员会成员不得收受他人的财物或者其他好处，不得向他人透漏对投标文件的评标和比较、中标候选人的推荐情况以及与评标有关的其他情况。在评标活动中，评标委员会成员不得擅离职守，影响评标程序正常进行，不得使用第三章“评标办法”没有规定的评标因素和标准进行评标。</w:t>
      </w:r>
    </w:p>
    <w:p w14:paraId="3CACB69C">
      <w:pPr>
        <w:pStyle w:val="59"/>
        <w:shd w:val="clear"/>
        <w:ind w:left="851" w:leftChars="0" w:hanging="851" w:firstLineChars="0"/>
        <w:outlineLvl w:val="1"/>
        <w:rPr>
          <w:highlight w:val="none"/>
        </w:rPr>
      </w:pPr>
      <w:bookmarkStart w:id="185" w:name="_Toc312072276"/>
      <w:bookmarkStart w:id="186" w:name="_Toc25723"/>
      <w:bookmarkStart w:id="187" w:name="_Toc507936057"/>
      <w:bookmarkStart w:id="188" w:name="_Toc446434337"/>
      <w:r>
        <w:rPr>
          <w:highlight w:val="none"/>
        </w:rPr>
        <w:t xml:space="preserve">9.4 </w:t>
      </w:r>
      <w:r>
        <w:rPr>
          <w:rFonts w:hint="eastAsia"/>
          <w:highlight w:val="none"/>
        </w:rPr>
        <w:t>对与评标活动有关的工作人员的纪律要求</w:t>
      </w:r>
      <w:bookmarkEnd w:id="185"/>
      <w:bookmarkEnd w:id="186"/>
      <w:bookmarkEnd w:id="187"/>
      <w:bookmarkEnd w:id="188"/>
    </w:p>
    <w:p w14:paraId="533F5DD6">
      <w:pPr>
        <w:shd w:val="clear"/>
        <w:spacing w:line="400" w:lineRule="exact"/>
        <w:ind w:firstLine="480" w:firstLineChars="200"/>
        <w:rPr>
          <w:highlight w:val="none"/>
        </w:rPr>
      </w:pPr>
      <w:r>
        <w:rPr>
          <w:rFonts w:hint="eastAsia"/>
          <w:highlight w:val="none"/>
        </w:rPr>
        <w:t>与评标活动有关的工作人员不得收受他人的财物或者其他好处，不得向他人透漏对投标文件的评标和比较、</w:t>
      </w:r>
      <w:r>
        <w:rPr>
          <w:rFonts w:hint="eastAsia" w:cs="仿宋"/>
          <w:highlight w:val="none"/>
        </w:rPr>
        <w:t>中标</w:t>
      </w:r>
      <w:r>
        <w:rPr>
          <w:rFonts w:hint="eastAsia"/>
          <w:highlight w:val="none"/>
        </w:rPr>
        <w:t>候选人的推荐情况以及与评标有关的其他情况。在评标活动中，与评标活动有关的工作人员不得擅离职守，影响评标程序正常进行。</w:t>
      </w:r>
    </w:p>
    <w:p w14:paraId="102D7128">
      <w:pPr>
        <w:pStyle w:val="59"/>
        <w:shd w:val="clear"/>
        <w:ind w:left="851" w:leftChars="0" w:hanging="851" w:firstLineChars="0"/>
        <w:outlineLvl w:val="1"/>
        <w:rPr>
          <w:highlight w:val="none"/>
        </w:rPr>
      </w:pPr>
      <w:bookmarkStart w:id="189" w:name="_Toc312072277"/>
      <w:bookmarkStart w:id="190" w:name="_Toc2562"/>
      <w:bookmarkStart w:id="191" w:name="_Toc446434338"/>
      <w:bookmarkStart w:id="192" w:name="_Toc507936058"/>
      <w:r>
        <w:rPr>
          <w:highlight w:val="none"/>
        </w:rPr>
        <w:t xml:space="preserve">9.5 </w:t>
      </w:r>
      <w:r>
        <w:rPr>
          <w:rFonts w:hint="eastAsia"/>
          <w:highlight w:val="none"/>
        </w:rPr>
        <w:t>投诉</w:t>
      </w:r>
      <w:bookmarkEnd w:id="189"/>
      <w:bookmarkEnd w:id="190"/>
      <w:bookmarkEnd w:id="191"/>
      <w:bookmarkEnd w:id="192"/>
    </w:p>
    <w:p w14:paraId="77AC0EB2">
      <w:pPr>
        <w:shd w:val="clear"/>
        <w:spacing w:line="400" w:lineRule="exact"/>
        <w:ind w:firstLine="480" w:firstLineChars="200"/>
        <w:rPr>
          <w:highlight w:val="none"/>
        </w:rPr>
      </w:pPr>
      <w:bookmarkStart w:id="193" w:name="_Toc312072278"/>
      <w:r>
        <w:rPr>
          <w:rFonts w:hint="eastAsia"/>
          <w:highlight w:val="none"/>
        </w:rPr>
        <w:t>投标人和其他利害关系人认为本次招标活动违反法律、法规和规章规定的，有权向市建设行政主管部门和相关监督部门投诉。</w:t>
      </w:r>
    </w:p>
    <w:p w14:paraId="1730AC46">
      <w:pPr>
        <w:pStyle w:val="59"/>
        <w:shd w:val="clear"/>
        <w:ind w:left="851" w:leftChars="0" w:hanging="851" w:firstLineChars="0"/>
        <w:jc w:val="center"/>
        <w:outlineLvl w:val="0"/>
        <w:rPr>
          <w:rStyle w:val="96"/>
          <w:b/>
          <w:bCs/>
          <w:highlight w:val="none"/>
        </w:rPr>
      </w:pPr>
      <w:bookmarkStart w:id="194" w:name="_Toc11493"/>
      <w:bookmarkStart w:id="195" w:name="_Toc446434339"/>
      <w:bookmarkStart w:id="196" w:name="_Toc507936059"/>
      <w:r>
        <w:rPr>
          <w:rStyle w:val="96"/>
          <w:b/>
          <w:bCs/>
          <w:highlight w:val="none"/>
        </w:rPr>
        <w:t xml:space="preserve">10. </w:t>
      </w:r>
      <w:r>
        <w:rPr>
          <w:rStyle w:val="96"/>
          <w:rFonts w:hint="eastAsia"/>
          <w:b/>
          <w:bCs/>
          <w:highlight w:val="none"/>
        </w:rPr>
        <w:t>需要补充的其他内容</w:t>
      </w:r>
      <w:bookmarkEnd w:id="175"/>
      <w:bookmarkEnd w:id="176"/>
      <w:bookmarkEnd w:id="177"/>
      <w:bookmarkEnd w:id="178"/>
      <w:bookmarkEnd w:id="193"/>
      <w:bookmarkEnd w:id="194"/>
      <w:bookmarkEnd w:id="195"/>
      <w:bookmarkEnd w:id="196"/>
    </w:p>
    <w:p w14:paraId="395873DD">
      <w:pPr>
        <w:shd w:val="clear"/>
        <w:spacing w:line="360" w:lineRule="auto"/>
        <w:rPr>
          <w:rFonts w:hint="eastAsia"/>
          <w:highlight w:val="none"/>
        </w:rPr>
      </w:pPr>
      <w:r>
        <w:rPr>
          <w:rFonts w:hint="eastAsia"/>
          <w:highlight w:val="none"/>
        </w:rPr>
        <w:t>10.1评委投票方式：见投标人须知前附表。</w:t>
      </w:r>
    </w:p>
    <w:p w14:paraId="3BD03939">
      <w:pPr>
        <w:shd w:val="clear"/>
        <w:spacing w:line="360" w:lineRule="auto"/>
        <w:rPr>
          <w:rFonts w:hint="eastAsia"/>
          <w:highlight w:val="none"/>
        </w:rPr>
      </w:pPr>
      <w:r>
        <w:rPr>
          <w:rFonts w:hint="eastAsia"/>
          <w:highlight w:val="none"/>
        </w:rPr>
        <w:t>10.2投标人对招标文件认可的界定：见投标人须知前附表。</w:t>
      </w:r>
    </w:p>
    <w:p w14:paraId="6AF518E0">
      <w:pPr>
        <w:pStyle w:val="56"/>
        <w:shd w:val="clear"/>
        <w:spacing w:before="156"/>
        <w:rPr>
          <w:highlight w:val="none"/>
        </w:rPr>
      </w:pPr>
      <w:bookmarkStart w:id="197" w:name="_Toc506105866"/>
      <w:bookmarkStart w:id="198" w:name="_Toc507936060"/>
      <w:r>
        <w:rPr>
          <w:highlight w:val="none"/>
        </w:rPr>
        <w:br w:type="page"/>
      </w:r>
      <w:bookmarkStart w:id="199" w:name="_Toc11016"/>
      <w:bookmarkStart w:id="200" w:name="_Toc17549_WPSOffice_Level1"/>
      <w:r>
        <w:rPr>
          <w:rFonts w:hint="eastAsia"/>
          <w:highlight w:val="none"/>
        </w:rPr>
        <w:t>第三章  评标办法</w:t>
      </w:r>
      <w:bookmarkEnd w:id="197"/>
      <w:bookmarkEnd w:id="198"/>
      <w:bookmarkEnd w:id="199"/>
      <w:bookmarkEnd w:id="200"/>
    </w:p>
    <w:p w14:paraId="397491AB">
      <w:pPr>
        <w:shd w:val="clear"/>
        <w:tabs>
          <w:tab w:val="left" w:pos="6237"/>
        </w:tabs>
        <w:spacing w:line="360" w:lineRule="auto"/>
        <w:ind w:firstLine="480" w:firstLineChars="200"/>
        <w:rPr>
          <w:rFonts w:cs="仿宋"/>
          <w:bCs/>
          <w:color w:val="000000"/>
          <w:highlight w:val="none"/>
        </w:rPr>
      </w:pPr>
      <w:r>
        <w:rPr>
          <w:rFonts w:hint="eastAsia" w:cs="仿宋"/>
          <w:bCs/>
          <w:color w:val="000000"/>
          <w:highlight w:val="none"/>
        </w:rPr>
        <w:t>为规范招标工作，制定本办法。</w:t>
      </w:r>
    </w:p>
    <w:p w14:paraId="4C7C3D76">
      <w:pPr>
        <w:shd w:val="clear"/>
        <w:spacing w:line="360" w:lineRule="auto"/>
        <w:outlineLvl w:val="0"/>
        <w:rPr>
          <w:rFonts w:cs="仿宋"/>
          <w:color w:val="000000"/>
          <w:highlight w:val="none"/>
        </w:rPr>
      </w:pPr>
      <w:bookmarkStart w:id="201" w:name="_Toc22698"/>
      <w:r>
        <w:rPr>
          <w:rFonts w:hint="eastAsia" w:cs="仿宋"/>
          <w:color w:val="000000"/>
          <w:highlight w:val="none"/>
        </w:rPr>
        <w:t>一、评标方法</w:t>
      </w:r>
      <w:bookmarkEnd w:id="201"/>
    </w:p>
    <w:p w14:paraId="3DDE1F65">
      <w:pPr>
        <w:shd w:val="clear"/>
        <w:spacing w:line="360" w:lineRule="auto"/>
        <w:ind w:firstLine="480" w:firstLineChars="200"/>
        <w:rPr>
          <w:rFonts w:cs="仿宋"/>
          <w:bCs/>
          <w:color w:val="000000"/>
          <w:highlight w:val="none"/>
        </w:rPr>
      </w:pPr>
      <w:r>
        <w:rPr>
          <w:rFonts w:hint="eastAsia" w:cs="仿宋"/>
          <w:bCs/>
          <w:color w:val="000000"/>
          <w:highlight w:val="none"/>
        </w:rPr>
        <w:t>按评分标准表进行评标。</w:t>
      </w:r>
    </w:p>
    <w:p w14:paraId="205C4EC3">
      <w:pPr>
        <w:shd w:val="clear"/>
        <w:spacing w:line="360" w:lineRule="auto"/>
        <w:outlineLvl w:val="0"/>
        <w:rPr>
          <w:rFonts w:cs="仿宋"/>
          <w:color w:val="000000"/>
          <w:highlight w:val="none"/>
        </w:rPr>
      </w:pPr>
      <w:bookmarkStart w:id="202" w:name="_Toc594"/>
      <w:r>
        <w:rPr>
          <w:rFonts w:hint="eastAsia" w:cs="仿宋"/>
          <w:bCs/>
          <w:color w:val="000000"/>
          <w:highlight w:val="none"/>
        </w:rPr>
        <w:t>二、评标原则</w:t>
      </w:r>
      <w:bookmarkEnd w:id="202"/>
    </w:p>
    <w:p w14:paraId="2A383A76">
      <w:pPr>
        <w:shd w:val="clear"/>
        <w:spacing w:line="360" w:lineRule="auto"/>
        <w:ind w:firstLine="480" w:firstLineChars="200"/>
        <w:rPr>
          <w:rFonts w:cs="仿宋"/>
          <w:color w:val="000000"/>
          <w:highlight w:val="none"/>
        </w:rPr>
      </w:pPr>
      <w:r>
        <w:rPr>
          <w:rFonts w:hint="eastAsia" w:cs="仿宋"/>
          <w:bCs/>
          <w:color w:val="000000"/>
          <w:highlight w:val="none"/>
        </w:rPr>
        <w:t>评标遵循公平、公正、科学、择优的原则。</w:t>
      </w:r>
    </w:p>
    <w:p w14:paraId="16247F73">
      <w:pPr>
        <w:shd w:val="clear"/>
        <w:spacing w:line="360" w:lineRule="auto"/>
        <w:outlineLvl w:val="0"/>
        <w:rPr>
          <w:rFonts w:cs="仿宋"/>
          <w:color w:val="000000"/>
          <w:highlight w:val="none"/>
        </w:rPr>
      </w:pPr>
      <w:bookmarkStart w:id="203" w:name="_Toc11677"/>
      <w:r>
        <w:rPr>
          <w:rFonts w:hint="eastAsia" w:cs="仿宋"/>
          <w:bCs/>
          <w:color w:val="000000"/>
          <w:highlight w:val="none"/>
        </w:rPr>
        <w:t>三、评标组织及服务</w:t>
      </w:r>
      <w:bookmarkEnd w:id="203"/>
    </w:p>
    <w:p w14:paraId="57E3A023">
      <w:pPr>
        <w:shd w:val="clear"/>
        <w:spacing w:line="360" w:lineRule="auto"/>
        <w:ind w:firstLine="480" w:firstLineChars="200"/>
        <w:outlineLvl w:val="1"/>
        <w:rPr>
          <w:rFonts w:cs="仿宋"/>
          <w:bCs/>
          <w:color w:val="000000"/>
          <w:highlight w:val="none"/>
        </w:rPr>
      </w:pPr>
      <w:bookmarkStart w:id="204" w:name="_Toc13093"/>
      <w:r>
        <w:rPr>
          <w:rFonts w:hint="eastAsia" w:cs="仿宋"/>
          <w:bCs/>
          <w:color w:val="000000"/>
          <w:highlight w:val="none"/>
        </w:rPr>
        <w:t>1、为做好评标工作，成立评标委员会和工作小组。</w:t>
      </w:r>
      <w:bookmarkEnd w:id="204"/>
    </w:p>
    <w:p w14:paraId="16165A1F">
      <w:pPr>
        <w:shd w:val="clear"/>
        <w:spacing w:line="360" w:lineRule="auto"/>
        <w:ind w:firstLine="480" w:firstLineChars="200"/>
        <w:outlineLvl w:val="1"/>
        <w:rPr>
          <w:rFonts w:cs="仿宋"/>
          <w:bCs/>
          <w:color w:val="000000"/>
          <w:highlight w:val="none"/>
        </w:rPr>
      </w:pPr>
      <w:bookmarkStart w:id="205" w:name="_Toc19395"/>
      <w:r>
        <w:rPr>
          <w:rFonts w:hint="eastAsia" w:cs="仿宋"/>
          <w:bCs/>
          <w:color w:val="000000"/>
          <w:highlight w:val="none"/>
        </w:rPr>
        <w:t>2、评标委员会</w:t>
      </w:r>
      <w:bookmarkEnd w:id="205"/>
    </w:p>
    <w:p w14:paraId="0BDD35A7">
      <w:pPr>
        <w:shd w:val="clear"/>
        <w:spacing w:line="360" w:lineRule="auto"/>
        <w:ind w:firstLine="480" w:firstLineChars="200"/>
        <w:rPr>
          <w:rFonts w:cs="仿宋"/>
          <w:bCs/>
          <w:color w:val="000000"/>
          <w:highlight w:val="none"/>
        </w:rPr>
      </w:pPr>
      <w:r>
        <w:rPr>
          <w:rFonts w:hint="eastAsia" w:cs="仿宋"/>
          <w:bCs/>
          <w:color w:val="000000"/>
          <w:highlight w:val="none"/>
        </w:rPr>
        <w:t>2.1评标委员会由招标人依法组建，评标委员会成员由招标人代表及熟悉相关业务的有关技术、经济等方面的专家组成。</w:t>
      </w:r>
    </w:p>
    <w:p w14:paraId="67240CCA">
      <w:pPr>
        <w:shd w:val="clear"/>
        <w:spacing w:line="360" w:lineRule="auto"/>
        <w:ind w:firstLine="480" w:firstLineChars="200"/>
        <w:rPr>
          <w:rFonts w:cs="仿宋"/>
          <w:bCs/>
          <w:color w:val="000000"/>
          <w:highlight w:val="none"/>
        </w:rPr>
      </w:pPr>
      <w:r>
        <w:rPr>
          <w:rFonts w:hint="eastAsia" w:cs="仿宋"/>
          <w:bCs/>
          <w:color w:val="000000"/>
          <w:highlight w:val="none"/>
        </w:rPr>
        <w:t>2.2评标委员会成员为5人及以上单数。</w:t>
      </w:r>
    </w:p>
    <w:p w14:paraId="627EE549">
      <w:pPr>
        <w:shd w:val="clear"/>
        <w:spacing w:line="360" w:lineRule="auto"/>
        <w:ind w:firstLine="480" w:firstLineChars="200"/>
        <w:rPr>
          <w:rFonts w:cs="仿宋"/>
          <w:bCs/>
          <w:color w:val="000000"/>
          <w:highlight w:val="none"/>
        </w:rPr>
      </w:pPr>
      <w:r>
        <w:rPr>
          <w:rFonts w:hint="eastAsia" w:cs="仿宋"/>
          <w:bCs/>
          <w:color w:val="000000"/>
          <w:highlight w:val="none"/>
        </w:rPr>
        <w:t>2.3评标工作由评标委员会负责。</w:t>
      </w:r>
    </w:p>
    <w:p w14:paraId="380D1775">
      <w:pPr>
        <w:shd w:val="clear"/>
        <w:spacing w:line="360" w:lineRule="auto"/>
        <w:ind w:firstLine="480" w:firstLineChars="200"/>
        <w:outlineLvl w:val="1"/>
        <w:rPr>
          <w:rFonts w:cs="仿宋"/>
          <w:bCs/>
          <w:color w:val="000000"/>
          <w:highlight w:val="none"/>
        </w:rPr>
      </w:pPr>
      <w:bookmarkStart w:id="206" w:name="_Toc31757"/>
      <w:r>
        <w:rPr>
          <w:rFonts w:hint="eastAsia" w:cs="仿宋"/>
          <w:bCs/>
          <w:color w:val="000000"/>
          <w:highlight w:val="none"/>
        </w:rPr>
        <w:t>3、工作小组</w:t>
      </w:r>
      <w:bookmarkEnd w:id="206"/>
    </w:p>
    <w:p w14:paraId="7C1F7185">
      <w:pPr>
        <w:shd w:val="clear"/>
        <w:spacing w:line="360" w:lineRule="auto"/>
        <w:ind w:firstLine="480" w:firstLineChars="200"/>
        <w:rPr>
          <w:rFonts w:cs="仿宋"/>
          <w:bCs/>
          <w:color w:val="000000"/>
          <w:highlight w:val="none"/>
        </w:rPr>
      </w:pPr>
      <w:r>
        <w:rPr>
          <w:rFonts w:hint="eastAsia" w:cs="仿宋"/>
          <w:bCs/>
          <w:color w:val="000000"/>
          <w:highlight w:val="none"/>
        </w:rPr>
        <w:t>3.1由招标人组成工作小组，为评标委员会服务。</w:t>
      </w:r>
    </w:p>
    <w:p w14:paraId="5279B353">
      <w:pPr>
        <w:shd w:val="clear"/>
        <w:spacing w:line="360" w:lineRule="auto"/>
        <w:ind w:firstLine="480" w:firstLineChars="200"/>
        <w:rPr>
          <w:rFonts w:cs="仿宋"/>
          <w:bCs/>
          <w:color w:val="000000"/>
          <w:highlight w:val="none"/>
        </w:rPr>
      </w:pPr>
      <w:r>
        <w:rPr>
          <w:rFonts w:hint="eastAsia" w:cs="仿宋"/>
          <w:bCs/>
          <w:color w:val="000000"/>
          <w:highlight w:val="none"/>
        </w:rPr>
        <w:t>3.2工作小组承担保管招标文件、投标文件、发放评标资料、投标文件摘录汇总、基础数据对比及会议服务。</w:t>
      </w:r>
    </w:p>
    <w:p w14:paraId="05E28EF0">
      <w:pPr>
        <w:shd w:val="clear"/>
        <w:spacing w:line="360" w:lineRule="auto"/>
        <w:outlineLvl w:val="0"/>
        <w:rPr>
          <w:rFonts w:cs="仿宋"/>
          <w:bCs/>
          <w:color w:val="000000"/>
          <w:highlight w:val="none"/>
        </w:rPr>
      </w:pPr>
      <w:bookmarkStart w:id="207" w:name="_Toc13528"/>
      <w:r>
        <w:rPr>
          <w:rFonts w:hint="eastAsia" w:cs="仿宋"/>
          <w:bCs/>
          <w:color w:val="000000"/>
          <w:highlight w:val="none"/>
        </w:rPr>
        <w:t>四、评标程序及内容</w:t>
      </w:r>
      <w:bookmarkEnd w:id="207"/>
    </w:p>
    <w:p w14:paraId="7B3D5F1E">
      <w:pPr>
        <w:shd w:val="clear"/>
        <w:spacing w:line="360" w:lineRule="auto"/>
        <w:ind w:firstLine="480" w:firstLineChars="200"/>
        <w:rPr>
          <w:rFonts w:hint="eastAsia" w:cs="仿宋"/>
          <w:bCs/>
          <w:color w:val="FF0000"/>
          <w:highlight w:val="none"/>
        </w:rPr>
      </w:pPr>
      <w:r>
        <w:rPr>
          <w:rFonts w:hint="eastAsia" w:cs="仿宋"/>
          <w:bCs/>
          <w:color w:val="000000"/>
          <w:highlight w:val="none"/>
        </w:rPr>
        <w:t>1、评标的方法：</w:t>
      </w:r>
      <w:r>
        <w:rPr>
          <w:rFonts w:hint="eastAsia" w:cs="仿宋"/>
          <w:bCs/>
          <w:highlight w:val="none"/>
        </w:rPr>
        <w:t>由资格审查、</w:t>
      </w:r>
      <w:r>
        <w:rPr>
          <w:rFonts w:hint="eastAsia" w:cs="仿宋"/>
          <w:bCs/>
          <w:color w:val="000000"/>
          <w:highlight w:val="none"/>
        </w:rPr>
        <w:t>综合</w:t>
      </w:r>
      <w:r>
        <w:rPr>
          <w:rFonts w:hint="eastAsia" w:cs="仿宋"/>
          <w:bCs/>
          <w:highlight w:val="none"/>
        </w:rPr>
        <w:t>评标两部分。</w:t>
      </w:r>
    </w:p>
    <w:p w14:paraId="0374B138">
      <w:pPr>
        <w:shd w:val="clear"/>
        <w:spacing w:line="360" w:lineRule="auto"/>
        <w:ind w:firstLine="480" w:firstLineChars="200"/>
        <w:rPr>
          <w:rFonts w:cs="仿宋"/>
          <w:bCs/>
          <w:color w:val="000000"/>
          <w:highlight w:val="none"/>
        </w:rPr>
      </w:pPr>
      <w:r>
        <w:rPr>
          <w:rFonts w:hint="eastAsia" w:cs="仿宋"/>
          <w:bCs/>
          <w:highlight w:val="none"/>
        </w:rPr>
        <w:t>2、资格审查</w:t>
      </w:r>
      <w:r>
        <w:rPr>
          <w:rFonts w:hint="eastAsia" w:cs="仿宋"/>
          <w:bCs/>
          <w:color w:val="000000"/>
          <w:highlight w:val="none"/>
        </w:rPr>
        <w:t>：按对投标人的资格要求、缴纳投标保证金等情况进行评标。详见《资格审查表》。</w:t>
      </w:r>
    </w:p>
    <w:p w14:paraId="3EF96D81">
      <w:pPr>
        <w:shd w:val="clear"/>
        <w:spacing w:line="360" w:lineRule="auto"/>
        <w:ind w:firstLine="480" w:firstLineChars="200"/>
        <w:rPr>
          <w:rFonts w:cs="仿宋"/>
          <w:bCs/>
          <w:color w:val="000000"/>
          <w:highlight w:val="none"/>
        </w:rPr>
      </w:pPr>
      <w:r>
        <w:rPr>
          <w:rFonts w:hint="eastAsia" w:cs="仿宋"/>
          <w:bCs/>
          <w:color w:val="000000"/>
          <w:highlight w:val="none"/>
        </w:rPr>
        <w:t>3、综合评标：通过资格审查后，根据投标人的商务、技术和价格等进行综合评标。</w:t>
      </w:r>
    </w:p>
    <w:p w14:paraId="2A614B8C">
      <w:pPr>
        <w:shd w:val="clear"/>
        <w:spacing w:line="360" w:lineRule="auto"/>
        <w:outlineLvl w:val="0"/>
        <w:rPr>
          <w:rFonts w:cs="仿宋"/>
          <w:bCs/>
          <w:color w:val="000000"/>
          <w:highlight w:val="none"/>
        </w:rPr>
      </w:pPr>
      <w:bookmarkStart w:id="208" w:name="_Toc24033"/>
      <w:r>
        <w:rPr>
          <w:rFonts w:hint="eastAsia" w:cs="仿宋"/>
          <w:bCs/>
          <w:color w:val="000000"/>
          <w:highlight w:val="none"/>
        </w:rPr>
        <w:t>五、评标报告</w:t>
      </w:r>
      <w:bookmarkEnd w:id="208"/>
    </w:p>
    <w:p w14:paraId="6C2368F1">
      <w:pPr>
        <w:shd w:val="clear"/>
        <w:spacing w:line="360" w:lineRule="auto"/>
        <w:ind w:firstLine="480" w:firstLineChars="200"/>
        <w:rPr>
          <w:rFonts w:cs="仿宋"/>
          <w:bCs/>
          <w:color w:val="000000"/>
          <w:highlight w:val="none"/>
        </w:rPr>
      </w:pPr>
      <w:r>
        <w:rPr>
          <w:rFonts w:hint="eastAsia" w:cs="仿宋"/>
          <w:bCs/>
          <w:color w:val="000000"/>
          <w:highlight w:val="none"/>
        </w:rPr>
        <w:t>1、评标委员会根据评标情况和结果，向招标人提交评标报告。评标报告由评标委员会起草，评标委员会全体成员应在评标报告上签字确认，评标专家如有保留意见可以在评标报告中阐明。</w:t>
      </w:r>
    </w:p>
    <w:p w14:paraId="638D8036">
      <w:pPr>
        <w:shd w:val="clear"/>
        <w:spacing w:line="360" w:lineRule="auto"/>
        <w:ind w:firstLine="480" w:firstLineChars="200"/>
        <w:rPr>
          <w:rFonts w:cs="仿宋"/>
          <w:bCs/>
          <w:color w:val="000000"/>
          <w:highlight w:val="none"/>
        </w:rPr>
      </w:pPr>
      <w:r>
        <w:rPr>
          <w:rFonts w:hint="eastAsia" w:cs="仿宋"/>
          <w:bCs/>
          <w:color w:val="000000"/>
          <w:highlight w:val="none"/>
        </w:rPr>
        <w:t>2、评标委员会在评标报告中根据得分排序推荐前</w:t>
      </w:r>
      <w:r>
        <w:rPr>
          <w:rFonts w:hint="eastAsia" w:cs="仿宋"/>
          <w:bCs/>
          <w:highlight w:val="none"/>
        </w:rPr>
        <w:t>一至二名</w:t>
      </w:r>
      <w:r>
        <w:rPr>
          <w:rFonts w:hint="eastAsia" w:cs="仿宋"/>
          <w:bCs/>
          <w:color w:val="000000"/>
          <w:highlight w:val="none"/>
        </w:rPr>
        <w:t>为中标候选人。</w:t>
      </w:r>
    </w:p>
    <w:p w14:paraId="089EA091">
      <w:pPr>
        <w:shd w:val="clear"/>
        <w:jc w:val="center"/>
        <w:rPr>
          <w:rFonts w:hint="eastAsia"/>
          <w:b/>
          <w:sz w:val="30"/>
          <w:szCs w:val="30"/>
          <w:highlight w:val="none"/>
        </w:rPr>
      </w:pPr>
    </w:p>
    <w:p w14:paraId="00AB13A2">
      <w:pPr>
        <w:shd w:val="clear"/>
        <w:jc w:val="center"/>
        <w:outlineLvl w:val="0"/>
        <w:rPr>
          <w:b/>
          <w:sz w:val="30"/>
          <w:szCs w:val="30"/>
          <w:highlight w:val="none"/>
        </w:rPr>
      </w:pPr>
      <w:bookmarkStart w:id="209" w:name="_Toc28983"/>
      <w:r>
        <w:rPr>
          <w:rFonts w:hint="eastAsia"/>
          <w:b/>
          <w:sz w:val="30"/>
          <w:szCs w:val="30"/>
          <w:highlight w:val="none"/>
        </w:rPr>
        <w:t>1.资格审查表</w:t>
      </w:r>
      <w:bookmarkEnd w:id="209"/>
    </w:p>
    <w:p w14:paraId="733F44BC">
      <w:pPr>
        <w:shd w:val="clear"/>
        <w:ind w:left="-808" w:leftChars="-337" w:firstLine="720" w:firstLineChars="300"/>
        <w:rPr>
          <w:szCs w:val="21"/>
          <w:highlight w:val="none"/>
        </w:rPr>
      </w:pPr>
      <w:r>
        <w:rPr>
          <w:rFonts w:hint="eastAsia"/>
          <w:szCs w:val="21"/>
          <w:highlight w:val="none"/>
        </w:rPr>
        <w:t>招标编号：                 审查日期： 年 月 日</w:t>
      </w:r>
    </w:p>
    <w:tbl>
      <w:tblPr>
        <w:tblStyle w:val="46"/>
        <w:tblW w:w="0" w:type="auto"/>
        <w:tblInd w:w="-601" w:type="dxa"/>
        <w:tblLayout w:type="autofit"/>
        <w:tblCellMar>
          <w:top w:w="0" w:type="dxa"/>
          <w:left w:w="108" w:type="dxa"/>
          <w:bottom w:w="0" w:type="dxa"/>
          <w:right w:w="108" w:type="dxa"/>
        </w:tblCellMar>
      </w:tblPr>
      <w:tblGrid>
        <w:gridCol w:w="567"/>
        <w:gridCol w:w="1276"/>
        <w:gridCol w:w="1701"/>
        <w:gridCol w:w="993"/>
        <w:gridCol w:w="456"/>
        <w:gridCol w:w="849"/>
        <w:gridCol w:w="1701"/>
        <w:gridCol w:w="2268"/>
      </w:tblGrid>
      <w:tr w14:paraId="47D29B9B">
        <w:tblPrEx>
          <w:tblCellMar>
            <w:top w:w="0" w:type="dxa"/>
            <w:left w:w="108" w:type="dxa"/>
            <w:bottom w:w="0" w:type="dxa"/>
            <w:right w:w="108" w:type="dxa"/>
          </w:tblCellMar>
        </w:tblPrEx>
        <w:trPr>
          <w:trHeight w:val="300" w:hRule="atLeast"/>
        </w:trPr>
        <w:tc>
          <w:tcPr>
            <w:tcW w:w="1843" w:type="dxa"/>
            <w:gridSpan w:val="2"/>
            <w:tcBorders>
              <w:top w:val="single" w:color="auto" w:sz="8" w:space="0"/>
              <w:left w:val="single" w:color="auto" w:sz="8" w:space="0"/>
              <w:bottom w:val="single" w:color="auto" w:sz="8" w:space="0"/>
              <w:right w:val="single" w:color="000000" w:sz="8" w:space="0"/>
            </w:tcBorders>
            <w:noWrap/>
            <w:vAlign w:val="center"/>
          </w:tcPr>
          <w:p w14:paraId="55B503F7">
            <w:pPr>
              <w:shd w:val="clear"/>
              <w:jc w:val="center"/>
              <w:rPr>
                <w:szCs w:val="21"/>
                <w:highlight w:val="none"/>
              </w:rPr>
            </w:pPr>
            <w:r>
              <w:rPr>
                <w:rFonts w:hint="eastAsia"/>
                <w:szCs w:val="21"/>
                <w:highlight w:val="none"/>
              </w:rPr>
              <w:t>招标名称</w:t>
            </w:r>
          </w:p>
        </w:tc>
        <w:tc>
          <w:tcPr>
            <w:tcW w:w="7938" w:type="dxa"/>
            <w:gridSpan w:val="6"/>
            <w:tcBorders>
              <w:top w:val="single" w:color="auto" w:sz="8" w:space="0"/>
              <w:left w:val="nil"/>
              <w:bottom w:val="single" w:color="auto" w:sz="8" w:space="0"/>
              <w:right w:val="single" w:color="000000" w:sz="8" w:space="0"/>
            </w:tcBorders>
            <w:noWrap/>
            <w:vAlign w:val="center"/>
          </w:tcPr>
          <w:p w14:paraId="355BDDAD">
            <w:pPr>
              <w:shd w:val="clear"/>
              <w:jc w:val="center"/>
              <w:rPr>
                <w:szCs w:val="21"/>
                <w:highlight w:val="none"/>
              </w:rPr>
            </w:pPr>
          </w:p>
        </w:tc>
      </w:tr>
      <w:tr w14:paraId="7B4A0967">
        <w:tblPrEx>
          <w:tblCellMar>
            <w:top w:w="0" w:type="dxa"/>
            <w:left w:w="108" w:type="dxa"/>
            <w:bottom w:w="0" w:type="dxa"/>
            <w:right w:w="108" w:type="dxa"/>
          </w:tblCellMar>
        </w:tblPrEx>
        <w:trPr>
          <w:trHeight w:val="300" w:hRule="atLeast"/>
        </w:trPr>
        <w:tc>
          <w:tcPr>
            <w:tcW w:w="1843" w:type="dxa"/>
            <w:gridSpan w:val="2"/>
            <w:tcBorders>
              <w:top w:val="single" w:color="auto" w:sz="8" w:space="0"/>
              <w:left w:val="single" w:color="auto" w:sz="8" w:space="0"/>
              <w:bottom w:val="single" w:color="auto" w:sz="8" w:space="0"/>
              <w:right w:val="single" w:color="000000" w:sz="8" w:space="0"/>
            </w:tcBorders>
            <w:noWrap/>
            <w:vAlign w:val="center"/>
          </w:tcPr>
          <w:p w14:paraId="1A561B81">
            <w:pPr>
              <w:shd w:val="clear"/>
              <w:jc w:val="center"/>
              <w:rPr>
                <w:szCs w:val="21"/>
                <w:highlight w:val="none"/>
              </w:rPr>
            </w:pPr>
            <w:r>
              <w:rPr>
                <w:rFonts w:hint="eastAsia"/>
                <w:szCs w:val="21"/>
                <w:highlight w:val="none"/>
              </w:rPr>
              <w:t>招标内容</w:t>
            </w:r>
          </w:p>
        </w:tc>
        <w:tc>
          <w:tcPr>
            <w:tcW w:w="7938" w:type="dxa"/>
            <w:gridSpan w:val="6"/>
            <w:tcBorders>
              <w:top w:val="single" w:color="auto" w:sz="8" w:space="0"/>
              <w:left w:val="nil"/>
              <w:bottom w:val="single" w:color="auto" w:sz="8" w:space="0"/>
              <w:right w:val="single" w:color="000000" w:sz="8" w:space="0"/>
            </w:tcBorders>
            <w:noWrap/>
            <w:vAlign w:val="center"/>
          </w:tcPr>
          <w:p w14:paraId="161665EB">
            <w:pPr>
              <w:shd w:val="clear"/>
              <w:jc w:val="center"/>
              <w:rPr>
                <w:szCs w:val="21"/>
                <w:highlight w:val="none"/>
              </w:rPr>
            </w:pPr>
          </w:p>
        </w:tc>
      </w:tr>
      <w:tr w14:paraId="3580603D">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7B060E60">
            <w:pPr>
              <w:shd w:val="clear"/>
              <w:jc w:val="center"/>
              <w:rPr>
                <w:szCs w:val="21"/>
                <w:highlight w:val="none"/>
              </w:rPr>
            </w:pPr>
            <w:r>
              <w:rPr>
                <w:rFonts w:hint="eastAsia"/>
                <w:szCs w:val="21"/>
                <w:highlight w:val="none"/>
              </w:rPr>
              <w:t>序号</w:t>
            </w:r>
          </w:p>
        </w:tc>
        <w:tc>
          <w:tcPr>
            <w:tcW w:w="2977" w:type="dxa"/>
            <w:gridSpan w:val="2"/>
            <w:tcBorders>
              <w:top w:val="single" w:color="auto" w:sz="8" w:space="0"/>
              <w:left w:val="nil"/>
              <w:bottom w:val="single" w:color="auto" w:sz="8" w:space="0"/>
              <w:right w:val="single" w:color="000000" w:sz="8" w:space="0"/>
            </w:tcBorders>
            <w:noWrap/>
            <w:vAlign w:val="center"/>
          </w:tcPr>
          <w:p w14:paraId="27BC6CE0">
            <w:pPr>
              <w:shd w:val="clear"/>
              <w:jc w:val="center"/>
              <w:rPr>
                <w:szCs w:val="21"/>
                <w:highlight w:val="none"/>
              </w:rPr>
            </w:pPr>
            <w:r>
              <w:rPr>
                <w:rFonts w:hint="eastAsia"/>
                <w:szCs w:val="21"/>
                <w:highlight w:val="none"/>
              </w:rPr>
              <w:t>报名单位</w:t>
            </w:r>
          </w:p>
        </w:tc>
        <w:tc>
          <w:tcPr>
            <w:tcW w:w="993" w:type="dxa"/>
            <w:tcBorders>
              <w:top w:val="nil"/>
              <w:left w:val="nil"/>
              <w:bottom w:val="single" w:color="auto" w:sz="8" w:space="0"/>
              <w:right w:val="single" w:color="auto" w:sz="8" w:space="0"/>
            </w:tcBorders>
            <w:noWrap/>
            <w:vAlign w:val="center"/>
          </w:tcPr>
          <w:p w14:paraId="5E399C61">
            <w:pPr>
              <w:shd w:val="clear"/>
              <w:jc w:val="center"/>
              <w:rPr>
                <w:szCs w:val="21"/>
                <w:highlight w:val="none"/>
              </w:rPr>
            </w:pPr>
            <w:r>
              <w:rPr>
                <w:rFonts w:hint="eastAsia"/>
                <w:szCs w:val="21"/>
                <w:highlight w:val="none"/>
              </w:rPr>
              <w:t>注册资金</w:t>
            </w:r>
          </w:p>
        </w:tc>
        <w:tc>
          <w:tcPr>
            <w:tcW w:w="426" w:type="dxa"/>
            <w:tcBorders>
              <w:top w:val="nil"/>
              <w:left w:val="nil"/>
              <w:bottom w:val="single" w:color="auto" w:sz="8" w:space="0"/>
              <w:right w:val="single" w:color="auto" w:sz="8" w:space="0"/>
            </w:tcBorders>
            <w:noWrap w:val="0"/>
            <w:vAlign w:val="center"/>
          </w:tcPr>
          <w:p w14:paraId="09CB611F">
            <w:pPr>
              <w:shd w:val="clear"/>
              <w:jc w:val="center"/>
              <w:rPr>
                <w:szCs w:val="21"/>
                <w:highlight w:val="none"/>
              </w:rPr>
            </w:pPr>
            <w:r>
              <w:rPr>
                <w:rFonts w:hint="eastAsia"/>
                <w:szCs w:val="21"/>
                <w:highlight w:val="none"/>
              </w:rPr>
              <w:t>业绩</w:t>
            </w:r>
          </w:p>
        </w:tc>
        <w:tc>
          <w:tcPr>
            <w:tcW w:w="849" w:type="dxa"/>
            <w:tcBorders>
              <w:top w:val="nil"/>
              <w:left w:val="nil"/>
              <w:bottom w:val="single" w:color="auto" w:sz="8" w:space="0"/>
              <w:right w:val="single" w:color="auto" w:sz="8" w:space="0"/>
            </w:tcBorders>
            <w:noWrap/>
            <w:vAlign w:val="center"/>
          </w:tcPr>
          <w:p w14:paraId="11DC8579">
            <w:pPr>
              <w:shd w:val="clear"/>
              <w:jc w:val="center"/>
              <w:rPr>
                <w:szCs w:val="21"/>
                <w:highlight w:val="none"/>
              </w:rPr>
            </w:pPr>
            <w:r>
              <w:rPr>
                <w:rFonts w:hint="eastAsia"/>
                <w:szCs w:val="21"/>
                <w:highlight w:val="none"/>
              </w:rPr>
              <w:t>联系人</w:t>
            </w:r>
          </w:p>
        </w:tc>
        <w:tc>
          <w:tcPr>
            <w:tcW w:w="1701" w:type="dxa"/>
            <w:tcBorders>
              <w:top w:val="nil"/>
              <w:left w:val="nil"/>
              <w:bottom w:val="single" w:color="auto" w:sz="8" w:space="0"/>
              <w:right w:val="single" w:color="auto" w:sz="8" w:space="0"/>
            </w:tcBorders>
            <w:noWrap/>
            <w:vAlign w:val="center"/>
          </w:tcPr>
          <w:p w14:paraId="228CE235">
            <w:pPr>
              <w:shd w:val="clear"/>
              <w:jc w:val="center"/>
              <w:rPr>
                <w:szCs w:val="21"/>
                <w:highlight w:val="none"/>
              </w:rPr>
            </w:pPr>
            <w:r>
              <w:rPr>
                <w:rFonts w:hint="eastAsia"/>
                <w:szCs w:val="21"/>
                <w:highlight w:val="none"/>
              </w:rPr>
              <w:t>联系电话</w:t>
            </w:r>
          </w:p>
        </w:tc>
        <w:tc>
          <w:tcPr>
            <w:tcW w:w="2268" w:type="dxa"/>
            <w:tcBorders>
              <w:top w:val="nil"/>
              <w:left w:val="nil"/>
              <w:bottom w:val="single" w:color="auto" w:sz="8" w:space="0"/>
              <w:right w:val="single" w:color="auto" w:sz="8" w:space="0"/>
            </w:tcBorders>
            <w:noWrap/>
            <w:vAlign w:val="center"/>
          </w:tcPr>
          <w:p w14:paraId="3FBFBA92">
            <w:pPr>
              <w:shd w:val="clear"/>
              <w:jc w:val="center"/>
              <w:rPr>
                <w:szCs w:val="21"/>
                <w:highlight w:val="none"/>
              </w:rPr>
            </w:pPr>
            <w:r>
              <w:rPr>
                <w:rFonts w:hint="eastAsia"/>
                <w:szCs w:val="21"/>
                <w:highlight w:val="none"/>
              </w:rPr>
              <w:t>包号</w:t>
            </w:r>
          </w:p>
        </w:tc>
      </w:tr>
      <w:tr w14:paraId="3700EE46">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2D55D129">
            <w:pPr>
              <w:shd w:val="clear"/>
              <w:jc w:val="center"/>
              <w:rPr>
                <w:color w:val="000000"/>
                <w:szCs w:val="21"/>
                <w:highlight w:val="none"/>
              </w:rPr>
            </w:pPr>
            <w:r>
              <w:rPr>
                <w:rFonts w:hint="eastAsia"/>
                <w:color w:val="000000"/>
                <w:szCs w:val="21"/>
                <w:highlight w:val="none"/>
              </w:rPr>
              <w:t>1</w:t>
            </w:r>
          </w:p>
        </w:tc>
        <w:tc>
          <w:tcPr>
            <w:tcW w:w="2977" w:type="dxa"/>
            <w:gridSpan w:val="2"/>
            <w:tcBorders>
              <w:top w:val="single" w:color="auto" w:sz="8" w:space="0"/>
              <w:left w:val="nil"/>
              <w:bottom w:val="single" w:color="auto" w:sz="8" w:space="0"/>
              <w:right w:val="single" w:color="000000" w:sz="8" w:space="0"/>
            </w:tcBorders>
            <w:noWrap/>
            <w:vAlign w:val="center"/>
          </w:tcPr>
          <w:p w14:paraId="729A3404">
            <w:pPr>
              <w:shd w:val="clear"/>
              <w:jc w:val="center"/>
              <w:rPr>
                <w:color w:val="000000"/>
                <w:szCs w:val="21"/>
                <w:highlight w:val="none"/>
              </w:rPr>
            </w:pPr>
            <w:r>
              <w:rPr>
                <w:rFonts w:hint="eastAsia"/>
                <w:color w:val="000000"/>
                <w:szCs w:val="21"/>
                <w:highlight w:val="none"/>
              </w:rPr>
              <w:t>　</w:t>
            </w:r>
          </w:p>
        </w:tc>
        <w:tc>
          <w:tcPr>
            <w:tcW w:w="993" w:type="dxa"/>
            <w:tcBorders>
              <w:top w:val="nil"/>
              <w:left w:val="nil"/>
              <w:bottom w:val="single" w:color="auto" w:sz="8" w:space="0"/>
              <w:right w:val="single" w:color="auto" w:sz="8" w:space="0"/>
            </w:tcBorders>
            <w:noWrap/>
            <w:vAlign w:val="center"/>
          </w:tcPr>
          <w:p w14:paraId="433E758E">
            <w:pPr>
              <w:shd w:val="clear"/>
              <w:jc w:val="center"/>
              <w:rPr>
                <w:color w:val="000000"/>
                <w:szCs w:val="21"/>
                <w:highlight w:val="none"/>
              </w:rPr>
            </w:pPr>
            <w:r>
              <w:rPr>
                <w:rFonts w:hint="eastAsia"/>
                <w:color w:val="000000"/>
                <w:szCs w:val="21"/>
                <w:highlight w:val="none"/>
              </w:rPr>
              <w:t>　</w:t>
            </w:r>
          </w:p>
        </w:tc>
        <w:tc>
          <w:tcPr>
            <w:tcW w:w="426" w:type="dxa"/>
            <w:tcBorders>
              <w:top w:val="nil"/>
              <w:left w:val="nil"/>
              <w:bottom w:val="single" w:color="auto" w:sz="8" w:space="0"/>
              <w:right w:val="single" w:color="auto" w:sz="8" w:space="0"/>
            </w:tcBorders>
            <w:noWrap/>
            <w:vAlign w:val="center"/>
          </w:tcPr>
          <w:p w14:paraId="04A4260E">
            <w:pPr>
              <w:shd w:val="clear"/>
              <w:jc w:val="center"/>
              <w:rPr>
                <w:color w:val="000000"/>
                <w:szCs w:val="21"/>
                <w:highlight w:val="none"/>
              </w:rPr>
            </w:pPr>
            <w:r>
              <w:rPr>
                <w:rFonts w:hint="eastAsia"/>
                <w:color w:val="000000"/>
                <w:szCs w:val="21"/>
                <w:highlight w:val="none"/>
              </w:rPr>
              <w:t>　</w:t>
            </w:r>
          </w:p>
        </w:tc>
        <w:tc>
          <w:tcPr>
            <w:tcW w:w="849" w:type="dxa"/>
            <w:tcBorders>
              <w:top w:val="nil"/>
              <w:left w:val="nil"/>
              <w:bottom w:val="single" w:color="auto" w:sz="8" w:space="0"/>
              <w:right w:val="single" w:color="auto" w:sz="8" w:space="0"/>
            </w:tcBorders>
            <w:noWrap/>
            <w:vAlign w:val="center"/>
          </w:tcPr>
          <w:p w14:paraId="699D61F8">
            <w:pPr>
              <w:shd w:val="clear"/>
              <w:jc w:val="center"/>
              <w:rPr>
                <w:color w:val="000000"/>
                <w:szCs w:val="21"/>
                <w:highlight w:val="none"/>
              </w:rPr>
            </w:pPr>
            <w:r>
              <w:rPr>
                <w:rFonts w:hint="eastAsia"/>
                <w:color w:val="000000"/>
                <w:szCs w:val="21"/>
                <w:highlight w:val="none"/>
              </w:rPr>
              <w:t>　</w:t>
            </w:r>
          </w:p>
        </w:tc>
        <w:tc>
          <w:tcPr>
            <w:tcW w:w="1701" w:type="dxa"/>
            <w:tcBorders>
              <w:top w:val="nil"/>
              <w:left w:val="nil"/>
              <w:bottom w:val="single" w:color="auto" w:sz="8" w:space="0"/>
              <w:right w:val="single" w:color="auto" w:sz="8" w:space="0"/>
            </w:tcBorders>
            <w:noWrap/>
            <w:vAlign w:val="center"/>
          </w:tcPr>
          <w:p w14:paraId="4BA5C19A">
            <w:pPr>
              <w:shd w:val="clear"/>
              <w:jc w:val="center"/>
              <w:rPr>
                <w:color w:val="000000"/>
                <w:szCs w:val="21"/>
                <w:highlight w:val="none"/>
              </w:rPr>
            </w:pPr>
            <w:r>
              <w:rPr>
                <w:rFonts w:hint="eastAsia"/>
                <w:color w:val="000000"/>
                <w:szCs w:val="21"/>
                <w:highlight w:val="none"/>
              </w:rPr>
              <w:t>　</w:t>
            </w:r>
          </w:p>
        </w:tc>
        <w:tc>
          <w:tcPr>
            <w:tcW w:w="2268" w:type="dxa"/>
            <w:tcBorders>
              <w:top w:val="nil"/>
              <w:left w:val="nil"/>
              <w:bottom w:val="single" w:color="auto" w:sz="8" w:space="0"/>
              <w:right w:val="single" w:color="auto" w:sz="8" w:space="0"/>
            </w:tcBorders>
            <w:noWrap/>
            <w:vAlign w:val="center"/>
          </w:tcPr>
          <w:p w14:paraId="34DFAE05">
            <w:pPr>
              <w:shd w:val="clear"/>
              <w:jc w:val="center"/>
              <w:rPr>
                <w:color w:val="000000"/>
                <w:szCs w:val="21"/>
                <w:highlight w:val="none"/>
              </w:rPr>
            </w:pPr>
            <w:r>
              <w:rPr>
                <w:rFonts w:hint="eastAsia"/>
                <w:color w:val="000000"/>
                <w:szCs w:val="21"/>
                <w:highlight w:val="none"/>
              </w:rPr>
              <w:t>　</w:t>
            </w:r>
          </w:p>
        </w:tc>
      </w:tr>
      <w:tr w14:paraId="13ABFB56">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71D7FD38">
            <w:pPr>
              <w:shd w:val="clear"/>
              <w:jc w:val="center"/>
              <w:rPr>
                <w:color w:val="000000"/>
                <w:szCs w:val="21"/>
                <w:highlight w:val="none"/>
              </w:rPr>
            </w:pPr>
            <w:r>
              <w:rPr>
                <w:rFonts w:hint="eastAsia"/>
                <w:color w:val="000000"/>
                <w:szCs w:val="21"/>
                <w:highlight w:val="none"/>
              </w:rPr>
              <w:t>2</w:t>
            </w:r>
          </w:p>
        </w:tc>
        <w:tc>
          <w:tcPr>
            <w:tcW w:w="2977" w:type="dxa"/>
            <w:gridSpan w:val="2"/>
            <w:tcBorders>
              <w:top w:val="single" w:color="auto" w:sz="8" w:space="0"/>
              <w:left w:val="nil"/>
              <w:bottom w:val="single" w:color="auto" w:sz="8" w:space="0"/>
              <w:right w:val="single" w:color="000000" w:sz="8" w:space="0"/>
            </w:tcBorders>
            <w:noWrap/>
            <w:vAlign w:val="center"/>
          </w:tcPr>
          <w:p w14:paraId="38422A66">
            <w:pPr>
              <w:shd w:val="clear"/>
              <w:jc w:val="center"/>
              <w:rPr>
                <w:color w:val="000000"/>
                <w:szCs w:val="21"/>
                <w:highlight w:val="none"/>
              </w:rPr>
            </w:pPr>
            <w:r>
              <w:rPr>
                <w:rFonts w:hint="eastAsia"/>
                <w:color w:val="000000"/>
                <w:szCs w:val="21"/>
                <w:highlight w:val="none"/>
              </w:rPr>
              <w:t>　</w:t>
            </w:r>
          </w:p>
        </w:tc>
        <w:tc>
          <w:tcPr>
            <w:tcW w:w="993" w:type="dxa"/>
            <w:tcBorders>
              <w:top w:val="nil"/>
              <w:left w:val="nil"/>
              <w:bottom w:val="single" w:color="auto" w:sz="8" w:space="0"/>
              <w:right w:val="single" w:color="auto" w:sz="8" w:space="0"/>
            </w:tcBorders>
            <w:noWrap/>
            <w:vAlign w:val="center"/>
          </w:tcPr>
          <w:p w14:paraId="3929699D">
            <w:pPr>
              <w:shd w:val="clear"/>
              <w:jc w:val="center"/>
              <w:rPr>
                <w:color w:val="000000"/>
                <w:szCs w:val="21"/>
                <w:highlight w:val="none"/>
              </w:rPr>
            </w:pPr>
            <w:r>
              <w:rPr>
                <w:rFonts w:hint="eastAsia"/>
                <w:color w:val="000000"/>
                <w:szCs w:val="21"/>
                <w:highlight w:val="none"/>
              </w:rPr>
              <w:t>　</w:t>
            </w:r>
          </w:p>
        </w:tc>
        <w:tc>
          <w:tcPr>
            <w:tcW w:w="426" w:type="dxa"/>
            <w:tcBorders>
              <w:top w:val="nil"/>
              <w:left w:val="nil"/>
              <w:bottom w:val="single" w:color="auto" w:sz="8" w:space="0"/>
              <w:right w:val="single" w:color="auto" w:sz="8" w:space="0"/>
            </w:tcBorders>
            <w:noWrap/>
            <w:vAlign w:val="center"/>
          </w:tcPr>
          <w:p w14:paraId="2C73C007">
            <w:pPr>
              <w:shd w:val="clear"/>
              <w:jc w:val="center"/>
              <w:rPr>
                <w:color w:val="000000"/>
                <w:szCs w:val="21"/>
                <w:highlight w:val="none"/>
              </w:rPr>
            </w:pPr>
            <w:r>
              <w:rPr>
                <w:rFonts w:hint="eastAsia"/>
                <w:color w:val="000000"/>
                <w:szCs w:val="21"/>
                <w:highlight w:val="none"/>
              </w:rPr>
              <w:t>　</w:t>
            </w:r>
          </w:p>
        </w:tc>
        <w:tc>
          <w:tcPr>
            <w:tcW w:w="849" w:type="dxa"/>
            <w:tcBorders>
              <w:top w:val="nil"/>
              <w:left w:val="nil"/>
              <w:bottom w:val="single" w:color="auto" w:sz="8" w:space="0"/>
              <w:right w:val="single" w:color="auto" w:sz="8" w:space="0"/>
            </w:tcBorders>
            <w:noWrap/>
            <w:vAlign w:val="center"/>
          </w:tcPr>
          <w:p w14:paraId="6E8C8ED9">
            <w:pPr>
              <w:shd w:val="clear"/>
              <w:jc w:val="center"/>
              <w:rPr>
                <w:color w:val="000000"/>
                <w:szCs w:val="21"/>
                <w:highlight w:val="none"/>
              </w:rPr>
            </w:pPr>
            <w:r>
              <w:rPr>
                <w:rFonts w:hint="eastAsia"/>
                <w:color w:val="000000"/>
                <w:szCs w:val="21"/>
                <w:highlight w:val="none"/>
              </w:rPr>
              <w:t>　</w:t>
            </w:r>
          </w:p>
        </w:tc>
        <w:tc>
          <w:tcPr>
            <w:tcW w:w="1701" w:type="dxa"/>
            <w:tcBorders>
              <w:top w:val="nil"/>
              <w:left w:val="nil"/>
              <w:bottom w:val="single" w:color="auto" w:sz="8" w:space="0"/>
              <w:right w:val="single" w:color="auto" w:sz="8" w:space="0"/>
            </w:tcBorders>
            <w:noWrap/>
            <w:vAlign w:val="center"/>
          </w:tcPr>
          <w:p w14:paraId="1D9599EA">
            <w:pPr>
              <w:shd w:val="clear"/>
              <w:jc w:val="center"/>
              <w:rPr>
                <w:color w:val="000000"/>
                <w:szCs w:val="21"/>
                <w:highlight w:val="none"/>
              </w:rPr>
            </w:pPr>
            <w:r>
              <w:rPr>
                <w:rFonts w:hint="eastAsia"/>
                <w:color w:val="000000"/>
                <w:szCs w:val="21"/>
                <w:highlight w:val="none"/>
              </w:rPr>
              <w:t>　</w:t>
            </w:r>
          </w:p>
        </w:tc>
        <w:tc>
          <w:tcPr>
            <w:tcW w:w="2268" w:type="dxa"/>
            <w:tcBorders>
              <w:top w:val="nil"/>
              <w:left w:val="nil"/>
              <w:bottom w:val="single" w:color="auto" w:sz="8" w:space="0"/>
              <w:right w:val="single" w:color="auto" w:sz="8" w:space="0"/>
            </w:tcBorders>
            <w:noWrap/>
            <w:vAlign w:val="center"/>
          </w:tcPr>
          <w:p w14:paraId="4D419FF7">
            <w:pPr>
              <w:shd w:val="clear"/>
              <w:jc w:val="center"/>
              <w:rPr>
                <w:color w:val="000000"/>
                <w:szCs w:val="21"/>
                <w:highlight w:val="none"/>
              </w:rPr>
            </w:pPr>
            <w:r>
              <w:rPr>
                <w:rFonts w:hint="eastAsia"/>
                <w:color w:val="000000"/>
                <w:szCs w:val="21"/>
                <w:highlight w:val="none"/>
              </w:rPr>
              <w:t>　</w:t>
            </w:r>
          </w:p>
        </w:tc>
      </w:tr>
      <w:tr w14:paraId="37A5CC7F">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444B2586">
            <w:pPr>
              <w:shd w:val="clear"/>
              <w:jc w:val="center"/>
              <w:rPr>
                <w:color w:val="000000"/>
                <w:szCs w:val="21"/>
                <w:highlight w:val="none"/>
              </w:rPr>
            </w:pPr>
            <w:r>
              <w:rPr>
                <w:rFonts w:hint="eastAsia"/>
                <w:color w:val="000000"/>
                <w:szCs w:val="21"/>
                <w:highlight w:val="none"/>
              </w:rPr>
              <w:t>3</w:t>
            </w:r>
          </w:p>
        </w:tc>
        <w:tc>
          <w:tcPr>
            <w:tcW w:w="2977" w:type="dxa"/>
            <w:gridSpan w:val="2"/>
            <w:tcBorders>
              <w:top w:val="single" w:color="auto" w:sz="8" w:space="0"/>
              <w:left w:val="nil"/>
              <w:bottom w:val="single" w:color="auto" w:sz="8" w:space="0"/>
              <w:right w:val="single" w:color="000000" w:sz="8" w:space="0"/>
            </w:tcBorders>
            <w:noWrap/>
            <w:vAlign w:val="center"/>
          </w:tcPr>
          <w:p w14:paraId="07D189C3">
            <w:pPr>
              <w:shd w:val="clear"/>
              <w:jc w:val="center"/>
              <w:rPr>
                <w:color w:val="000000"/>
                <w:szCs w:val="21"/>
                <w:highlight w:val="none"/>
              </w:rPr>
            </w:pPr>
            <w:r>
              <w:rPr>
                <w:rFonts w:hint="eastAsia"/>
                <w:color w:val="000000"/>
                <w:szCs w:val="21"/>
                <w:highlight w:val="none"/>
              </w:rPr>
              <w:t>　</w:t>
            </w:r>
          </w:p>
        </w:tc>
        <w:tc>
          <w:tcPr>
            <w:tcW w:w="993" w:type="dxa"/>
            <w:tcBorders>
              <w:top w:val="nil"/>
              <w:left w:val="nil"/>
              <w:bottom w:val="single" w:color="auto" w:sz="8" w:space="0"/>
              <w:right w:val="single" w:color="auto" w:sz="8" w:space="0"/>
            </w:tcBorders>
            <w:noWrap/>
            <w:vAlign w:val="center"/>
          </w:tcPr>
          <w:p w14:paraId="6AA9031A">
            <w:pPr>
              <w:shd w:val="clear"/>
              <w:jc w:val="center"/>
              <w:rPr>
                <w:color w:val="000000"/>
                <w:szCs w:val="21"/>
                <w:highlight w:val="none"/>
              </w:rPr>
            </w:pPr>
            <w:r>
              <w:rPr>
                <w:rFonts w:hint="eastAsia"/>
                <w:color w:val="000000"/>
                <w:szCs w:val="21"/>
                <w:highlight w:val="none"/>
              </w:rPr>
              <w:t>　</w:t>
            </w:r>
          </w:p>
        </w:tc>
        <w:tc>
          <w:tcPr>
            <w:tcW w:w="426" w:type="dxa"/>
            <w:tcBorders>
              <w:top w:val="nil"/>
              <w:left w:val="nil"/>
              <w:bottom w:val="single" w:color="auto" w:sz="8" w:space="0"/>
              <w:right w:val="single" w:color="auto" w:sz="8" w:space="0"/>
            </w:tcBorders>
            <w:noWrap/>
            <w:vAlign w:val="center"/>
          </w:tcPr>
          <w:p w14:paraId="110BCBF9">
            <w:pPr>
              <w:shd w:val="clear"/>
              <w:jc w:val="center"/>
              <w:rPr>
                <w:color w:val="000000"/>
                <w:szCs w:val="21"/>
                <w:highlight w:val="none"/>
              </w:rPr>
            </w:pPr>
            <w:r>
              <w:rPr>
                <w:rFonts w:hint="eastAsia"/>
                <w:color w:val="000000"/>
                <w:szCs w:val="21"/>
                <w:highlight w:val="none"/>
              </w:rPr>
              <w:t>　</w:t>
            </w:r>
          </w:p>
        </w:tc>
        <w:tc>
          <w:tcPr>
            <w:tcW w:w="849" w:type="dxa"/>
            <w:tcBorders>
              <w:top w:val="nil"/>
              <w:left w:val="nil"/>
              <w:bottom w:val="single" w:color="auto" w:sz="8" w:space="0"/>
              <w:right w:val="single" w:color="auto" w:sz="8" w:space="0"/>
            </w:tcBorders>
            <w:noWrap/>
            <w:vAlign w:val="center"/>
          </w:tcPr>
          <w:p w14:paraId="2A4FB3BE">
            <w:pPr>
              <w:shd w:val="clear"/>
              <w:jc w:val="center"/>
              <w:rPr>
                <w:color w:val="000000"/>
                <w:szCs w:val="21"/>
                <w:highlight w:val="none"/>
              </w:rPr>
            </w:pPr>
            <w:r>
              <w:rPr>
                <w:rFonts w:hint="eastAsia"/>
                <w:color w:val="000000"/>
                <w:szCs w:val="21"/>
                <w:highlight w:val="none"/>
              </w:rPr>
              <w:t>　</w:t>
            </w:r>
          </w:p>
        </w:tc>
        <w:tc>
          <w:tcPr>
            <w:tcW w:w="1701" w:type="dxa"/>
            <w:tcBorders>
              <w:top w:val="nil"/>
              <w:left w:val="nil"/>
              <w:bottom w:val="single" w:color="auto" w:sz="8" w:space="0"/>
              <w:right w:val="single" w:color="auto" w:sz="8" w:space="0"/>
            </w:tcBorders>
            <w:noWrap/>
            <w:vAlign w:val="center"/>
          </w:tcPr>
          <w:p w14:paraId="1A438CB9">
            <w:pPr>
              <w:shd w:val="clear"/>
              <w:jc w:val="center"/>
              <w:rPr>
                <w:color w:val="000000"/>
                <w:szCs w:val="21"/>
                <w:highlight w:val="none"/>
              </w:rPr>
            </w:pPr>
            <w:r>
              <w:rPr>
                <w:rFonts w:hint="eastAsia"/>
                <w:color w:val="000000"/>
                <w:szCs w:val="21"/>
                <w:highlight w:val="none"/>
              </w:rPr>
              <w:t>　</w:t>
            </w:r>
          </w:p>
        </w:tc>
        <w:tc>
          <w:tcPr>
            <w:tcW w:w="2268" w:type="dxa"/>
            <w:tcBorders>
              <w:top w:val="nil"/>
              <w:left w:val="nil"/>
              <w:bottom w:val="single" w:color="auto" w:sz="8" w:space="0"/>
              <w:right w:val="single" w:color="auto" w:sz="8" w:space="0"/>
            </w:tcBorders>
            <w:noWrap/>
            <w:vAlign w:val="center"/>
          </w:tcPr>
          <w:p w14:paraId="6FB9A95A">
            <w:pPr>
              <w:shd w:val="clear"/>
              <w:jc w:val="center"/>
              <w:rPr>
                <w:color w:val="000000"/>
                <w:szCs w:val="21"/>
                <w:highlight w:val="none"/>
              </w:rPr>
            </w:pPr>
            <w:r>
              <w:rPr>
                <w:rFonts w:hint="eastAsia"/>
                <w:color w:val="000000"/>
                <w:szCs w:val="21"/>
                <w:highlight w:val="none"/>
              </w:rPr>
              <w:t>　</w:t>
            </w:r>
          </w:p>
        </w:tc>
      </w:tr>
      <w:tr w14:paraId="40B4A1CD">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2C992BAC">
            <w:pPr>
              <w:shd w:val="clear"/>
              <w:jc w:val="center"/>
              <w:rPr>
                <w:color w:val="000000"/>
                <w:szCs w:val="21"/>
                <w:highlight w:val="none"/>
              </w:rPr>
            </w:pPr>
            <w:r>
              <w:rPr>
                <w:rFonts w:hint="eastAsia"/>
                <w:color w:val="000000"/>
                <w:szCs w:val="21"/>
                <w:highlight w:val="none"/>
              </w:rPr>
              <w:t>4</w:t>
            </w:r>
          </w:p>
        </w:tc>
        <w:tc>
          <w:tcPr>
            <w:tcW w:w="2977" w:type="dxa"/>
            <w:gridSpan w:val="2"/>
            <w:tcBorders>
              <w:top w:val="single" w:color="auto" w:sz="8" w:space="0"/>
              <w:left w:val="nil"/>
              <w:bottom w:val="single" w:color="auto" w:sz="8" w:space="0"/>
              <w:right w:val="single" w:color="000000" w:sz="8" w:space="0"/>
            </w:tcBorders>
            <w:noWrap/>
            <w:vAlign w:val="center"/>
          </w:tcPr>
          <w:p w14:paraId="745A165A">
            <w:pPr>
              <w:shd w:val="clear"/>
              <w:jc w:val="center"/>
              <w:rPr>
                <w:color w:val="000000"/>
                <w:szCs w:val="21"/>
                <w:highlight w:val="none"/>
              </w:rPr>
            </w:pPr>
          </w:p>
        </w:tc>
        <w:tc>
          <w:tcPr>
            <w:tcW w:w="993" w:type="dxa"/>
            <w:tcBorders>
              <w:top w:val="nil"/>
              <w:left w:val="nil"/>
              <w:bottom w:val="single" w:color="auto" w:sz="8" w:space="0"/>
              <w:right w:val="single" w:color="auto" w:sz="8" w:space="0"/>
            </w:tcBorders>
            <w:noWrap/>
            <w:vAlign w:val="center"/>
          </w:tcPr>
          <w:p w14:paraId="41BEE240">
            <w:pPr>
              <w:shd w:val="clear"/>
              <w:jc w:val="center"/>
              <w:rPr>
                <w:color w:val="000000"/>
                <w:szCs w:val="21"/>
                <w:highlight w:val="none"/>
              </w:rPr>
            </w:pPr>
          </w:p>
        </w:tc>
        <w:tc>
          <w:tcPr>
            <w:tcW w:w="426" w:type="dxa"/>
            <w:tcBorders>
              <w:top w:val="nil"/>
              <w:left w:val="nil"/>
              <w:bottom w:val="single" w:color="auto" w:sz="8" w:space="0"/>
              <w:right w:val="single" w:color="auto" w:sz="8" w:space="0"/>
            </w:tcBorders>
            <w:noWrap/>
            <w:vAlign w:val="center"/>
          </w:tcPr>
          <w:p w14:paraId="09592B97">
            <w:pPr>
              <w:shd w:val="clear"/>
              <w:jc w:val="center"/>
              <w:rPr>
                <w:color w:val="000000"/>
                <w:szCs w:val="21"/>
                <w:highlight w:val="none"/>
              </w:rPr>
            </w:pPr>
          </w:p>
        </w:tc>
        <w:tc>
          <w:tcPr>
            <w:tcW w:w="849" w:type="dxa"/>
            <w:tcBorders>
              <w:top w:val="nil"/>
              <w:left w:val="nil"/>
              <w:bottom w:val="single" w:color="auto" w:sz="8" w:space="0"/>
              <w:right w:val="single" w:color="auto" w:sz="8" w:space="0"/>
            </w:tcBorders>
            <w:noWrap/>
            <w:vAlign w:val="center"/>
          </w:tcPr>
          <w:p w14:paraId="30CE3338">
            <w:pPr>
              <w:shd w:val="clear"/>
              <w:jc w:val="center"/>
              <w:rPr>
                <w:color w:val="000000"/>
                <w:szCs w:val="21"/>
                <w:highlight w:val="none"/>
              </w:rPr>
            </w:pPr>
          </w:p>
        </w:tc>
        <w:tc>
          <w:tcPr>
            <w:tcW w:w="1701" w:type="dxa"/>
            <w:tcBorders>
              <w:top w:val="nil"/>
              <w:left w:val="nil"/>
              <w:bottom w:val="single" w:color="auto" w:sz="8" w:space="0"/>
              <w:right w:val="single" w:color="auto" w:sz="8" w:space="0"/>
            </w:tcBorders>
            <w:noWrap/>
            <w:vAlign w:val="center"/>
          </w:tcPr>
          <w:p w14:paraId="23476118">
            <w:pPr>
              <w:shd w:val="clear"/>
              <w:jc w:val="center"/>
              <w:rPr>
                <w:color w:val="000000"/>
                <w:szCs w:val="21"/>
                <w:highlight w:val="none"/>
              </w:rPr>
            </w:pPr>
          </w:p>
        </w:tc>
        <w:tc>
          <w:tcPr>
            <w:tcW w:w="2268" w:type="dxa"/>
            <w:tcBorders>
              <w:top w:val="nil"/>
              <w:left w:val="nil"/>
              <w:bottom w:val="single" w:color="auto" w:sz="8" w:space="0"/>
              <w:right w:val="single" w:color="auto" w:sz="8" w:space="0"/>
            </w:tcBorders>
            <w:noWrap/>
            <w:vAlign w:val="center"/>
          </w:tcPr>
          <w:p w14:paraId="3F06C62C">
            <w:pPr>
              <w:shd w:val="clear"/>
              <w:jc w:val="center"/>
              <w:rPr>
                <w:color w:val="000000"/>
                <w:szCs w:val="21"/>
                <w:highlight w:val="none"/>
              </w:rPr>
            </w:pPr>
          </w:p>
        </w:tc>
      </w:tr>
      <w:tr w14:paraId="63BE6E81">
        <w:tblPrEx>
          <w:tblCellMar>
            <w:top w:w="0" w:type="dxa"/>
            <w:left w:w="108" w:type="dxa"/>
            <w:bottom w:w="0" w:type="dxa"/>
            <w:right w:w="108" w:type="dxa"/>
          </w:tblCellMar>
        </w:tblPrEx>
        <w:trPr>
          <w:trHeight w:val="300" w:hRule="atLeast"/>
        </w:trPr>
        <w:tc>
          <w:tcPr>
            <w:tcW w:w="9781" w:type="dxa"/>
            <w:gridSpan w:val="8"/>
            <w:tcBorders>
              <w:top w:val="single" w:color="auto" w:sz="8" w:space="0"/>
              <w:left w:val="single" w:color="auto" w:sz="8" w:space="0"/>
              <w:bottom w:val="single" w:color="auto" w:sz="8" w:space="0"/>
              <w:right w:val="single" w:color="000000" w:sz="8" w:space="0"/>
            </w:tcBorders>
            <w:noWrap/>
            <w:vAlign w:val="center"/>
          </w:tcPr>
          <w:p w14:paraId="7F13C054">
            <w:pPr>
              <w:shd w:val="clear"/>
              <w:jc w:val="center"/>
              <w:rPr>
                <w:color w:val="000000"/>
                <w:szCs w:val="21"/>
                <w:highlight w:val="none"/>
              </w:rPr>
            </w:pPr>
            <w:r>
              <w:rPr>
                <w:rFonts w:hint="eastAsia"/>
                <w:color w:val="000000"/>
                <w:szCs w:val="21"/>
                <w:highlight w:val="none"/>
              </w:rPr>
              <w:t>资格审查情况说明</w:t>
            </w:r>
          </w:p>
        </w:tc>
      </w:tr>
      <w:tr w14:paraId="02F741C3">
        <w:tblPrEx>
          <w:tblCellMar>
            <w:top w:w="0" w:type="dxa"/>
            <w:left w:w="108" w:type="dxa"/>
            <w:bottom w:w="0" w:type="dxa"/>
            <w:right w:w="108" w:type="dxa"/>
          </w:tblCellMar>
        </w:tblPrEx>
        <w:trPr>
          <w:trHeight w:val="20" w:hRule="exact"/>
        </w:trPr>
        <w:tc>
          <w:tcPr>
            <w:tcW w:w="567" w:type="dxa"/>
            <w:gridSpan w:val="8"/>
            <w:vMerge w:val="restart"/>
            <w:tcBorders>
              <w:top w:val="single" w:color="auto" w:sz="8" w:space="0"/>
              <w:left w:val="single" w:color="auto" w:sz="8" w:space="0"/>
              <w:bottom w:val="single" w:color="000000" w:sz="8" w:space="0"/>
              <w:right w:val="single" w:color="000000" w:sz="8" w:space="0"/>
            </w:tcBorders>
            <w:noWrap/>
            <w:vAlign w:val="top"/>
          </w:tcPr>
          <w:p w14:paraId="38E71AEC">
            <w:pPr>
              <w:shd w:val="clear"/>
              <w:rPr>
                <w:color w:val="000000"/>
                <w:szCs w:val="21"/>
                <w:highlight w:val="none"/>
              </w:rPr>
            </w:pPr>
            <w:r>
              <w:rPr>
                <w:rFonts w:hint="eastAsia"/>
                <w:color w:val="000000"/>
                <w:szCs w:val="21"/>
                <w:highlight w:val="none"/>
              </w:rPr>
              <w:t>（资质、业绩、技术、能力，投标保证金等方面）</w:t>
            </w:r>
          </w:p>
          <w:p w14:paraId="1E78B1BA">
            <w:pPr>
              <w:shd w:val="clear"/>
              <w:rPr>
                <w:szCs w:val="21"/>
                <w:highlight w:val="none"/>
              </w:rPr>
            </w:pPr>
          </w:p>
          <w:p w14:paraId="7BDCF733">
            <w:pPr>
              <w:shd w:val="clear"/>
              <w:tabs>
                <w:tab w:val="left" w:pos="3171"/>
              </w:tabs>
              <w:rPr>
                <w:szCs w:val="21"/>
                <w:highlight w:val="none"/>
              </w:rPr>
            </w:pPr>
          </w:p>
        </w:tc>
      </w:tr>
      <w:tr w14:paraId="1D5B29E3">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1D4FFC6E">
            <w:pPr>
              <w:shd w:val="clear"/>
              <w:rPr>
                <w:color w:val="000000"/>
                <w:szCs w:val="21"/>
                <w:highlight w:val="none"/>
              </w:rPr>
            </w:pPr>
          </w:p>
        </w:tc>
      </w:tr>
      <w:tr w14:paraId="75953028">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149A89D">
            <w:pPr>
              <w:shd w:val="clear"/>
              <w:rPr>
                <w:color w:val="000000"/>
                <w:szCs w:val="21"/>
                <w:highlight w:val="none"/>
              </w:rPr>
            </w:pPr>
          </w:p>
        </w:tc>
      </w:tr>
      <w:tr w14:paraId="281B3A27">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8FECC3A">
            <w:pPr>
              <w:shd w:val="clear"/>
              <w:rPr>
                <w:color w:val="000000"/>
                <w:szCs w:val="21"/>
                <w:highlight w:val="none"/>
              </w:rPr>
            </w:pPr>
          </w:p>
        </w:tc>
      </w:tr>
      <w:tr w14:paraId="009C5FF2">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4045F4F1">
            <w:pPr>
              <w:shd w:val="clear"/>
              <w:rPr>
                <w:color w:val="000000"/>
                <w:szCs w:val="21"/>
                <w:highlight w:val="none"/>
              </w:rPr>
            </w:pPr>
          </w:p>
        </w:tc>
      </w:tr>
      <w:tr w14:paraId="29A7FCB0">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72581FC">
            <w:pPr>
              <w:shd w:val="clear"/>
              <w:rPr>
                <w:color w:val="000000"/>
                <w:szCs w:val="21"/>
                <w:highlight w:val="none"/>
              </w:rPr>
            </w:pPr>
          </w:p>
        </w:tc>
      </w:tr>
      <w:tr w14:paraId="7A5D1E9B">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9CBAD1E">
            <w:pPr>
              <w:shd w:val="clear"/>
              <w:rPr>
                <w:color w:val="000000"/>
                <w:szCs w:val="21"/>
                <w:highlight w:val="none"/>
              </w:rPr>
            </w:pPr>
          </w:p>
        </w:tc>
      </w:tr>
      <w:tr w14:paraId="4B3D6EC6">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EDD37A6">
            <w:pPr>
              <w:shd w:val="clear"/>
              <w:rPr>
                <w:color w:val="000000"/>
                <w:szCs w:val="21"/>
                <w:highlight w:val="none"/>
              </w:rPr>
            </w:pPr>
          </w:p>
        </w:tc>
      </w:tr>
      <w:tr w14:paraId="010446B4">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19874F7D">
            <w:pPr>
              <w:shd w:val="clear"/>
              <w:rPr>
                <w:color w:val="000000"/>
                <w:szCs w:val="21"/>
                <w:highlight w:val="none"/>
              </w:rPr>
            </w:pPr>
          </w:p>
        </w:tc>
      </w:tr>
      <w:tr w14:paraId="4370D1F2">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35168BC">
            <w:pPr>
              <w:shd w:val="clear"/>
              <w:rPr>
                <w:color w:val="000000"/>
                <w:szCs w:val="21"/>
                <w:highlight w:val="none"/>
              </w:rPr>
            </w:pPr>
          </w:p>
        </w:tc>
      </w:tr>
      <w:tr w14:paraId="4FEC0BA0">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2E4A7FAD">
            <w:pPr>
              <w:shd w:val="clear"/>
              <w:rPr>
                <w:color w:val="000000"/>
                <w:szCs w:val="21"/>
                <w:highlight w:val="none"/>
              </w:rPr>
            </w:pPr>
          </w:p>
        </w:tc>
      </w:tr>
      <w:tr w14:paraId="758D665B">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94578F2">
            <w:pPr>
              <w:shd w:val="clear"/>
              <w:rPr>
                <w:color w:val="000000"/>
                <w:szCs w:val="21"/>
                <w:highlight w:val="none"/>
              </w:rPr>
            </w:pPr>
          </w:p>
        </w:tc>
      </w:tr>
      <w:tr w14:paraId="172AF369">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42FF527">
            <w:pPr>
              <w:shd w:val="clear"/>
              <w:rPr>
                <w:color w:val="000000"/>
                <w:szCs w:val="21"/>
                <w:highlight w:val="none"/>
              </w:rPr>
            </w:pPr>
          </w:p>
        </w:tc>
      </w:tr>
      <w:tr w14:paraId="05987F5E">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5B0CAB4">
            <w:pPr>
              <w:shd w:val="clear"/>
              <w:rPr>
                <w:color w:val="000000"/>
                <w:szCs w:val="21"/>
                <w:highlight w:val="none"/>
              </w:rPr>
            </w:pPr>
          </w:p>
        </w:tc>
      </w:tr>
      <w:tr w14:paraId="11F54524">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6D02D163">
            <w:pPr>
              <w:shd w:val="clear"/>
              <w:rPr>
                <w:color w:val="000000"/>
                <w:szCs w:val="21"/>
                <w:highlight w:val="none"/>
              </w:rPr>
            </w:pPr>
          </w:p>
        </w:tc>
      </w:tr>
      <w:tr w14:paraId="1B11A7A9">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D90F21D">
            <w:pPr>
              <w:shd w:val="clear"/>
              <w:rPr>
                <w:color w:val="000000"/>
                <w:szCs w:val="21"/>
                <w:highlight w:val="none"/>
              </w:rPr>
            </w:pPr>
          </w:p>
        </w:tc>
      </w:tr>
      <w:tr w14:paraId="75F0867F">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263ED8F8">
            <w:pPr>
              <w:shd w:val="clear"/>
              <w:rPr>
                <w:color w:val="000000"/>
                <w:szCs w:val="21"/>
                <w:highlight w:val="none"/>
              </w:rPr>
            </w:pPr>
          </w:p>
        </w:tc>
      </w:tr>
      <w:tr w14:paraId="35D91EA7">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FBCBAD6">
            <w:pPr>
              <w:shd w:val="clear"/>
              <w:rPr>
                <w:color w:val="000000"/>
                <w:szCs w:val="21"/>
                <w:highlight w:val="none"/>
              </w:rPr>
            </w:pPr>
          </w:p>
        </w:tc>
      </w:tr>
      <w:tr w14:paraId="5049B526">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D9BE29C">
            <w:pPr>
              <w:shd w:val="clear"/>
              <w:rPr>
                <w:color w:val="000000"/>
                <w:szCs w:val="21"/>
                <w:highlight w:val="none"/>
              </w:rPr>
            </w:pPr>
          </w:p>
        </w:tc>
      </w:tr>
      <w:tr w14:paraId="208BA91F">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43FE9C7C">
            <w:pPr>
              <w:shd w:val="clear"/>
              <w:rPr>
                <w:color w:val="000000"/>
                <w:szCs w:val="21"/>
                <w:highlight w:val="none"/>
              </w:rPr>
            </w:pPr>
          </w:p>
        </w:tc>
      </w:tr>
      <w:tr w14:paraId="4D4E5C86">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2398FD66">
            <w:pPr>
              <w:shd w:val="clear"/>
              <w:rPr>
                <w:color w:val="000000"/>
                <w:szCs w:val="21"/>
                <w:highlight w:val="none"/>
              </w:rPr>
            </w:pPr>
          </w:p>
        </w:tc>
      </w:tr>
      <w:tr w14:paraId="01448738">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08E01214">
            <w:pPr>
              <w:shd w:val="clear"/>
              <w:rPr>
                <w:color w:val="000000"/>
                <w:szCs w:val="21"/>
                <w:highlight w:val="none"/>
              </w:rPr>
            </w:pPr>
          </w:p>
        </w:tc>
      </w:tr>
      <w:tr w14:paraId="4F3B6F99">
        <w:tblPrEx>
          <w:tblCellMar>
            <w:top w:w="0" w:type="dxa"/>
            <w:left w:w="108" w:type="dxa"/>
            <w:bottom w:w="0" w:type="dxa"/>
            <w:right w:w="108" w:type="dxa"/>
          </w:tblCellMar>
        </w:tblPrEx>
        <w:trPr>
          <w:trHeight w:val="312" w:hRule="atLeast"/>
        </w:trPr>
        <w:tc>
          <w:tcPr>
            <w:tcW w:w="1843" w:type="dxa"/>
            <w:gridSpan w:val="2"/>
            <w:vMerge w:val="restart"/>
            <w:tcBorders>
              <w:top w:val="single" w:color="000000" w:sz="8" w:space="0"/>
              <w:left w:val="single" w:color="auto" w:sz="8" w:space="0"/>
              <w:bottom w:val="single" w:color="000000" w:sz="8" w:space="0"/>
              <w:right w:val="single" w:color="000000" w:sz="8" w:space="0"/>
            </w:tcBorders>
            <w:noWrap/>
            <w:vAlign w:val="center"/>
          </w:tcPr>
          <w:p w14:paraId="02C49883">
            <w:pPr>
              <w:shd w:val="clear"/>
              <w:jc w:val="center"/>
              <w:rPr>
                <w:color w:val="000000"/>
                <w:szCs w:val="21"/>
                <w:highlight w:val="none"/>
              </w:rPr>
            </w:pPr>
            <w:r>
              <w:rPr>
                <w:rFonts w:hint="eastAsia"/>
                <w:color w:val="000000"/>
                <w:szCs w:val="21"/>
                <w:highlight w:val="none"/>
              </w:rPr>
              <w:t>资格审查人员</w:t>
            </w:r>
          </w:p>
        </w:tc>
        <w:tc>
          <w:tcPr>
            <w:tcW w:w="7938" w:type="dxa"/>
            <w:gridSpan w:val="6"/>
            <w:vMerge w:val="restart"/>
            <w:tcBorders>
              <w:top w:val="single" w:color="000000" w:sz="8" w:space="0"/>
              <w:left w:val="single" w:color="auto" w:sz="8" w:space="0"/>
              <w:bottom w:val="single" w:color="000000" w:sz="8" w:space="0"/>
              <w:right w:val="single" w:color="000000" w:sz="8" w:space="0"/>
            </w:tcBorders>
            <w:noWrap/>
            <w:vAlign w:val="center"/>
          </w:tcPr>
          <w:p w14:paraId="61439E03">
            <w:pPr>
              <w:shd w:val="clear"/>
              <w:jc w:val="center"/>
              <w:rPr>
                <w:color w:val="000000"/>
                <w:szCs w:val="21"/>
                <w:highlight w:val="none"/>
              </w:rPr>
            </w:pPr>
            <w:r>
              <w:rPr>
                <w:rFonts w:hint="eastAsia"/>
                <w:color w:val="000000"/>
                <w:szCs w:val="21"/>
                <w:highlight w:val="none"/>
              </w:rPr>
              <w:t>　</w:t>
            </w:r>
          </w:p>
        </w:tc>
      </w:tr>
      <w:tr w14:paraId="3D666245">
        <w:tblPrEx>
          <w:tblCellMar>
            <w:top w:w="0" w:type="dxa"/>
            <w:left w:w="108" w:type="dxa"/>
            <w:bottom w:w="0" w:type="dxa"/>
            <w:right w:w="108" w:type="dxa"/>
          </w:tblCellMar>
        </w:tblPrEx>
        <w:trPr>
          <w:trHeight w:val="312" w:hRule="atLeast"/>
        </w:trPr>
        <w:tc>
          <w:tcPr>
            <w:tcW w:w="1843" w:type="dxa"/>
            <w:gridSpan w:val="2"/>
            <w:vMerge w:val="continue"/>
            <w:tcBorders>
              <w:top w:val="single" w:color="000000" w:sz="8" w:space="0"/>
              <w:left w:val="single" w:color="auto" w:sz="8" w:space="0"/>
              <w:bottom w:val="single" w:color="000000" w:sz="8" w:space="0"/>
              <w:right w:val="single" w:color="000000" w:sz="8" w:space="0"/>
            </w:tcBorders>
            <w:noWrap w:val="0"/>
            <w:vAlign w:val="center"/>
          </w:tcPr>
          <w:p w14:paraId="119FD919">
            <w:pPr>
              <w:shd w:val="clear"/>
              <w:rPr>
                <w:color w:val="000000"/>
                <w:szCs w:val="21"/>
                <w:highlight w:val="none"/>
              </w:rPr>
            </w:pPr>
          </w:p>
        </w:tc>
        <w:tc>
          <w:tcPr>
            <w:tcW w:w="7938" w:type="dxa"/>
            <w:gridSpan w:val="6"/>
            <w:vMerge w:val="continue"/>
            <w:tcBorders>
              <w:top w:val="single" w:color="000000" w:sz="8" w:space="0"/>
              <w:left w:val="single" w:color="auto" w:sz="8" w:space="0"/>
              <w:bottom w:val="single" w:color="000000" w:sz="8" w:space="0"/>
              <w:right w:val="single" w:color="000000" w:sz="8" w:space="0"/>
            </w:tcBorders>
            <w:noWrap w:val="0"/>
            <w:vAlign w:val="center"/>
          </w:tcPr>
          <w:p w14:paraId="52B4BA34">
            <w:pPr>
              <w:shd w:val="clear"/>
              <w:rPr>
                <w:color w:val="000000"/>
                <w:szCs w:val="21"/>
                <w:highlight w:val="none"/>
              </w:rPr>
            </w:pPr>
          </w:p>
        </w:tc>
      </w:tr>
      <w:tr w14:paraId="2AADD90A">
        <w:tblPrEx>
          <w:tblCellMar>
            <w:top w:w="0" w:type="dxa"/>
            <w:left w:w="108" w:type="dxa"/>
            <w:bottom w:w="0" w:type="dxa"/>
            <w:right w:w="108" w:type="dxa"/>
          </w:tblCellMar>
        </w:tblPrEx>
        <w:trPr>
          <w:trHeight w:val="312" w:hRule="atLeast"/>
        </w:trPr>
        <w:tc>
          <w:tcPr>
            <w:tcW w:w="1843" w:type="dxa"/>
            <w:gridSpan w:val="2"/>
            <w:vMerge w:val="continue"/>
            <w:tcBorders>
              <w:top w:val="single" w:color="000000" w:sz="8" w:space="0"/>
              <w:left w:val="single" w:color="auto" w:sz="8" w:space="0"/>
              <w:bottom w:val="single" w:color="000000" w:sz="8" w:space="0"/>
              <w:right w:val="single" w:color="000000" w:sz="8" w:space="0"/>
            </w:tcBorders>
            <w:noWrap w:val="0"/>
            <w:vAlign w:val="center"/>
          </w:tcPr>
          <w:p w14:paraId="3A63D9CE">
            <w:pPr>
              <w:shd w:val="clear"/>
              <w:rPr>
                <w:color w:val="000000"/>
                <w:szCs w:val="21"/>
                <w:highlight w:val="none"/>
              </w:rPr>
            </w:pPr>
          </w:p>
        </w:tc>
        <w:tc>
          <w:tcPr>
            <w:tcW w:w="7938" w:type="dxa"/>
            <w:gridSpan w:val="6"/>
            <w:vMerge w:val="continue"/>
            <w:tcBorders>
              <w:top w:val="single" w:color="000000" w:sz="8" w:space="0"/>
              <w:left w:val="single" w:color="auto" w:sz="8" w:space="0"/>
              <w:bottom w:val="single" w:color="000000" w:sz="8" w:space="0"/>
              <w:right w:val="single" w:color="000000" w:sz="8" w:space="0"/>
            </w:tcBorders>
            <w:noWrap w:val="0"/>
            <w:vAlign w:val="center"/>
          </w:tcPr>
          <w:p w14:paraId="48355E51">
            <w:pPr>
              <w:shd w:val="clear"/>
              <w:rPr>
                <w:color w:val="000000"/>
                <w:szCs w:val="21"/>
                <w:highlight w:val="none"/>
              </w:rPr>
            </w:pPr>
          </w:p>
        </w:tc>
      </w:tr>
      <w:tr w14:paraId="38396BDE">
        <w:tblPrEx>
          <w:tblCellMar>
            <w:top w:w="0" w:type="dxa"/>
            <w:left w:w="108" w:type="dxa"/>
            <w:bottom w:w="0" w:type="dxa"/>
            <w:right w:w="108" w:type="dxa"/>
          </w:tblCellMar>
        </w:tblPrEx>
        <w:trPr>
          <w:trHeight w:val="312" w:hRule="atLeast"/>
        </w:trPr>
        <w:tc>
          <w:tcPr>
            <w:tcW w:w="1843" w:type="dxa"/>
            <w:gridSpan w:val="2"/>
            <w:vMerge w:val="continue"/>
            <w:tcBorders>
              <w:top w:val="single" w:color="000000" w:sz="8" w:space="0"/>
              <w:left w:val="single" w:color="auto" w:sz="8" w:space="0"/>
              <w:bottom w:val="single" w:color="000000" w:sz="8" w:space="0"/>
              <w:right w:val="single" w:color="000000" w:sz="8" w:space="0"/>
            </w:tcBorders>
            <w:noWrap w:val="0"/>
            <w:vAlign w:val="center"/>
          </w:tcPr>
          <w:p w14:paraId="21BC6E53">
            <w:pPr>
              <w:shd w:val="clear"/>
              <w:rPr>
                <w:color w:val="000000"/>
                <w:szCs w:val="21"/>
                <w:highlight w:val="none"/>
              </w:rPr>
            </w:pPr>
          </w:p>
        </w:tc>
        <w:tc>
          <w:tcPr>
            <w:tcW w:w="7938" w:type="dxa"/>
            <w:gridSpan w:val="6"/>
            <w:vMerge w:val="continue"/>
            <w:tcBorders>
              <w:top w:val="single" w:color="000000" w:sz="8" w:space="0"/>
              <w:left w:val="single" w:color="auto" w:sz="8" w:space="0"/>
              <w:bottom w:val="single" w:color="000000" w:sz="8" w:space="0"/>
              <w:right w:val="single" w:color="000000" w:sz="8" w:space="0"/>
            </w:tcBorders>
            <w:noWrap w:val="0"/>
            <w:vAlign w:val="center"/>
          </w:tcPr>
          <w:p w14:paraId="1104C3DE">
            <w:pPr>
              <w:shd w:val="clear"/>
              <w:rPr>
                <w:color w:val="000000"/>
                <w:szCs w:val="21"/>
                <w:highlight w:val="none"/>
              </w:rPr>
            </w:pPr>
          </w:p>
        </w:tc>
      </w:tr>
      <w:tr w14:paraId="5CF33F5A">
        <w:tblPrEx>
          <w:tblCellMar>
            <w:top w:w="0" w:type="dxa"/>
            <w:left w:w="108" w:type="dxa"/>
            <w:bottom w:w="0" w:type="dxa"/>
            <w:right w:w="108" w:type="dxa"/>
          </w:tblCellMar>
        </w:tblPrEx>
        <w:trPr>
          <w:trHeight w:val="312" w:hRule="atLeast"/>
        </w:trPr>
        <w:tc>
          <w:tcPr>
            <w:tcW w:w="1843" w:type="dxa"/>
            <w:gridSpan w:val="2"/>
            <w:vMerge w:val="continue"/>
            <w:tcBorders>
              <w:top w:val="single" w:color="000000" w:sz="8" w:space="0"/>
              <w:left w:val="single" w:color="auto" w:sz="8" w:space="0"/>
              <w:bottom w:val="single" w:color="auto" w:sz="4" w:space="0"/>
              <w:right w:val="single" w:color="000000" w:sz="8" w:space="0"/>
            </w:tcBorders>
            <w:noWrap w:val="0"/>
            <w:vAlign w:val="center"/>
          </w:tcPr>
          <w:p w14:paraId="7F686643">
            <w:pPr>
              <w:shd w:val="clear"/>
              <w:rPr>
                <w:color w:val="000000"/>
                <w:szCs w:val="21"/>
                <w:highlight w:val="none"/>
              </w:rPr>
            </w:pPr>
          </w:p>
        </w:tc>
        <w:tc>
          <w:tcPr>
            <w:tcW w:w="7938" w:type="dxa"/>
            <w:gridSpan w:val="6"/>
            <w:vMerge w:val="continue"/>
            <w:tcBorders>
              <w:top w:val="single" w:color="000000" w:sz="8" w:space="0"/>
              <w:left w:val="single" w:color="auto" w:sz="8" w:space="0"/>
              <w:bottom w:val="single" w:color="auto" w:sz="4" w:space="0"/>
              <w:right w:val="single" w:color="000000" w:sz="8" w:space="0"/>
            </w:tcBorders>
            <w:noWrap w:val="0"/>
            <w:vAlign w:val="center"/>
          </w:tcPr>
          <w:p w14:paraId="073A5449">
            <w:pPr>
              <w:shd w:val="clear"/>
              <w:rPr>
                <w:color w:val="000000"/>
                <w:szCs w:val="21"/>
                <w:highlight w:val="none"/>
              </w:rPr>
            </w:pPr>
          </w:p>
        </w:tc>
      </w:tr>
      <w:tr w14:paraId="39EA4420">
        <w:tblPrEx>
          <w:tblCellMar>
            <w:top w:w="0" w:type="dxa"/>
            <w:left w:w="108" w:type="dxa"/>
            <w:bottom w:w="0" w:type="dxa"/>
            <w:right w:w="108" w:type="dxa"/>
          </w:tblCellMar>
        </w:tblPrEx>
        <w:trPr>
          <w:trHeight w:val="558" w:hRule="atLeast"/>
        </w:trPr>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27ED174E">
            <w:pPr>
              <w:shd w:val="clear"/>
              <w:jc w:val="center"/>
              <w:rPr>
                <w:color w:val="000000"/>
                <w:szCs w:val="21"/>
                <w:highlight w:val="none"/>
              </w:rPr>
            </w:pPr>
            <w:r>
              <w:rPr>
                <w:rFonts w:hint="eastAsia"/>
                <w:color w:val="000000"/>
                <w:sz w:val="22"/>
                <w:highlight w:val="none"/>
              </w:rPr>
              <w:t>工作人员</w:t>
            </w:r>
          </w:p>
        </w:tc>
        <w:tc>
          <w:tcPr>
            <w:tcW w:w="7938" w:type="dxa"/>
            <w:gridSpan w:val="6"/>
            <w:tcBorders>
              <w:top w:val="single" w:color="auto" w:sz="4" w:space="0"/>
              <w:left w:val="single" w:color="auto" w:sz="4" w:space="0"/>
              <w:bottom w:val="single" w:color="auto" w:sz="4" w:space="0"/>
              <w:right w:val="single" w:color="auto" w:sz="4" w:space="0"/>
            </w:tcBorders>
            <w:noWrap w:val="0"/>
            <w:vAlign w:val="center"/>
          </w:tcPr>
          <w:p w14:paraId="420DC549">
            <w:pPr>
              <w:shd w:val="clear"/>
              <w:rPr>
                <w:color w:val="000000"/>
                <w:szCs w:val="21"/>
                <w:highlight w:val="none"/>
              </w:rPr>
            </w:pPr>
            <w:r>
              <w:rPr>
                <w:rFonts w:hint="eastAsia"/>
                <w:color w:val="000000"/>
                <w:sz w:val="22"/>
                <w:highlight w:val="none"/>
              </w:rPr>
              <w:t>　</w:t>
            </w:r>
          </w:p>
        </w:tc>
      </w:tr>
    </w:tbl>
    <w:p w14:paraId="4BB1F94B">
      <w:pPr>
        <w:pStyle w:val="64"/>
        <w:shd w:val="clear"/>
        <w:ind w:left="0" w:leftChars="0" w:firstLine="0" w:firstLineChars="0"/>
        <w:outlineLvl w:val="0"/>
        <w:rPr>
          <w:rFonts w:hint="eastAsia" w:cs="宋体"/>
          <w:b w:val="0"/>
          <w:bCs w:val="0"/>
          <w:sz w:val="30"/>
          <w:szCs w:val="30"/>
          <w:highlight w:val="none"/>
        </w:rPr>
      </w:pPr>
      <w:r>
        <w:rPr>
          <w:color w:val="000000"/>
          <w:szCs w:val="21"/>
          <w:highlight w:val="none"/>
        </w:rPr>
        <w:br w:type="page"/>
      </w:r>
      <w:bookmarkStart w:id="210" w:name="_Toc12756"/>
      <w:r>
        <w:rPr>
          <w:rFonts w:hint="eastAsia" w:cs="宋体"/>
          <w:b w:val="0"/>
          <w:bCs w:val="0"/>
          <w:sz w:val="30"/>
          <w:szCs w:val="30"/>
          <w:highlight w:val="none"/>
        </w:rPr>
        <w:t>2. 评分表</w:t>
      </w:r>
      <w:bookmarkEnd w:id="210"/>
    </w:p>
    <w:p w14:paraId="448F675F">
      <w:pPr>
        <w:pStyle w:val="64"/>
        <w:shd w:val="clear"/>
        <w:tabs>
          <w:tab w:val="left" w:pos="2342"/>
        </w:tabs>
        <w:ind w:left="851" w:leftChars="0" w:hanging="851" w:firstLineChars="0"/>
        <w:jc w:val="both"/>
        <w:outlineLvl w:val="9"/>
        <w:rPr>
          <w:highlight w:val="none"/>
        </w:rPr>
      </w:pPr>
      <w:r>
        <w:rPr>
          <w:highlight w:val="none"/>
        </w:rPr>
        <w:tab/>
      </w:r>
      <w:r>
        <w:rPr>
          <w:highlight w:val="none"/>
        </w:rPr>
        <w:tab/>
      </w:r>
    </w:p>
    <w:tbl>
      <w:tblPr>
        <w:tblStyle w:val="4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190"/>
        <w:gridCol w:w="5994"/>
      </w:tblGrid>
      <w:tr w14:paraId="3EF3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noWrap w:val="0"/>
            <w:vAlign w:val="center"/>
          </w:tcPr>
          <w:p w14:paraId="7411B2A0">
            <w:pPr>
              <w:shd w:val="clear"/>
              <w:jc w:val="center"/>
              <w:rPr>
                <w:rFonts w:cs="仿宋"/>
                <w:b/>
                <w:highlight w:val="none"/>
              </w:rPr>
            </w:pPr>
            <w:r>
              <w:rPr>
                <w:rFonts w:hint="eastAsia" w:cs="仿宋"/>
                <w:b/>
                <w:highlight w:val="none"/>
              </w:rPr>
              <w:t>项目</w:t>
            </w:r>
          </w:p>
        </w:tc>
        <w:tc>
          <w:tcPr>
            <w:tcW w:w="2190" w:type="dxa"/>
            <w:noWrap w:val="0"/>
            <w:vAlign w:val="center"/>
          </w:tcPr>
          <w:p w14:paraId="13259CCD">
            <w:pPr>
              <w:shd w:val="clear"/>
              <w:jc w:val="center"/>
              <w:rPr>
                <w:rFonts w:hint="eastAsia" w:cs="仿宋"/>
                <w:b/>
                <w:highlight w:val="none"/>
              </w:rPr>
            </w:pPr>
            <w:r>
              <w:rPr>
                <w:rFonts w:hint="eastAsia" w:cs="仿宋"/>
                <w:b/>
                <w:highlight w:val="none"/>
              </w:rPr>
              <w:t>分值</w:t>
            </w:r>
          </w:p>
        </w:tc>
        <w:tc>
          <w:tcPr>
            <w:tcW w:w="5994" w:type="dxa"/>
            <w:noWrap w:val="0"/>
            <w:vAlign w:val="center"/>
          </w:tcPr>
          <w:p w14:paraId="31D7C62F">
            <w:pPr>
              <w:shd w:val="clear"/>
              <w:spacing w:line="360" w:lineRule="auto"/>
              <w:jc w:val="center"/>
              <w:rPr>
                <w:rFonts w:cs="仿宋"/>
                <w:b/>
                <w:highlight w:val="none"/>
              </w:rPr>
            </w:pPr>
            <w:r>
              <w:rPr>
                <w:rFonts w:hint="eastAsia" w:cs="仿宋"/>
                <w:b/>
                <w:highlight w:val="none"/>
              </w:rPr>
              <w:t>评分细则</w:t>
            </w:r>
          </w:p>
        </w:tc>
      </w:tr>
      <w:tr w14:paraId="217A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271" w:type="dxa"/>
            <w:noWrap w:val="0"/>
            <w:vAlign w:val="center"/>
          </w:tcPr>
          <w:p w14:paraId="4A9E385F">
            <w:pPr>
              <w:shd w:val="clear"/>
              <w:jc w:val="center"/>
              <w:rPr>
                <w:rFonts w:hint="eastAsia"/>
                <w:highlight w:val="none"/>
                <w:lang w:val="en-US" w:eastAsia="zh-CN"/>
              </w:rPr>
            </w:pPr>
            <w:r>
              <w:rPr>
                <w:rFonts w:hint="eastAsia"/>
                <w:highlight w:val="none"/>
                <w:lang w:val="en-US" w:eastAsia="zh-CN"/>
              </w:rPr>
              <w:t>业绩评分</w:t>
            </w:r>
          </w:p>
          <w:p w14:paraId="626F2DE9">
            <w:pPr>
              <w:pStyle w:val="2"/>
              <w:shd w:val="clear"/>
              <w:ind w:left="0" w:leftChars="0" w:firstLine="0" w:firstLineChars="0"/>
              <w:jc w:val="center"/>
              <w:rPr>
                <w:rFonts w:hint="eastAsia"/>
                <w:highlight w:val="none"/>
                <w:lang w:val="en-US" w:eastAsia="zh-CN"/>
              </w:rPr>
            </w:pPr>
            <w:r>
              <w:rPr>
                <w:rFonts w:hint="eastAsia" w:cs="仿宋"/>
                <w:bCs/>
                <w:highlight w:val="none"/>
              </w:rPr>
              <w:t>(</w:t>
            </w:r>
            <w:r>
              <w:rPr>
                <w:rFonts w:hint="eastAsia" w:cs="仿宋"/>
                <w:bCs/>
                <w:highlight w:val="none"/>
                <w:lang w:val="en-US" w:eastAsia="zh-CN"/>
              </w:rPr>
              <w:t>5</w:t>
            </w:r>
            <w:r>
              <w:rPr>
                <w:rFonts w:hint="eastAsia" w:cs="仿宋"/>
                <w:bCs/>
                <w:highlight w:val="none"/>
              </w:rPr>
              <w:t>分)</w:t>
            </w:r>
          </w:p>
        </w:tc>
        <w:tc>
          <w:tcPr>
            <w:tcW w:w="2190" w:type="dxa"/>
            <w:noWrap w:val="0"/>
            <w:vAlign w:val="center"/>
          </w:tcPr>
          <w:p w14:paraId="31C7C85C">
            <w:pPr>
              <w:shd w:val="clear"/>
              <w:jc w:val="center"/>
              <w:rPr>
                <w:rFonts w:cs="仿宋"/>
                <w:bCs/>
                <w:highlight w:val="none"/>
              </w:rPr>
            </w:pPr>
            <w:r>
              <w:rPr>
                <w:rFonts w:hint="eastAsia" w:cs="仿宋"/>
                <w:bCs/>
                <w:highlight w:val="none"/>
              </w:rPr>
              <w:t>业绩</w:t>
            </w:r>
            <w:r>
              <w:rPr>
                <w:rFonts w:hint="eastAsia" w:cs="仿宋"/>
                <w:bCs/>
                <w:highlight w:val="none"/>
                <w:lang w:val="en-US" w:eastAsia="zh-CN"/>
              </w:rPr>
              <w:t>5</w:t>
            </w:r>
            <w:r>
              <w:rPr>
                <w:rFonts w:hint="eastAsia" w:cs="仿宋"/>
                <w:bCs/>
                <w:highlight w:val="none"/>
              </w:rPr>
              <w:t>分</w:t>
            </w:r>
          </w:p>
        </w:tc>
        <w:tc>
          <w:tcPr>
            <w:tcW w:w="5994" w:type="dxa"/>
            <w:noWrap w:val="0"/>
            <w:vAlign w:val="center"/>
          </w:tcPr>
          <w:p w14:paraId="7F99403A">
            <w:pPr>
              <w:shd w:val="clear"/>
              <w:rPr>
                <w:rFonts w:hint="default" w:eastAsia="宋体" w:cs="仿宋"/>
                <w:bCs/>
                <w:highlight w:val="none"/>
                <w:lang w:val="en-US" w:eastAsia="zh-CN"/>
              </w:rPr>
            </w:pPr>
            <w:r>
              <w:rPr>
                <w:rFonts w:hint="eastAsia" w:cs="仿宋"/>
                <w:bCs/>
                <w:highlight w:val="none"/>
                <w:lang w:val="en-US" w:eastAsia="zh-CN"/>
              </w:rPr>
              <w:t>2023年7月至今以三份有效业绩为基础，超出部分每提供一份同类业绩得1分，最高5分</w:t>
            </w:r>
          </w:p>
        </w:tc>
      </w:tr>
      <w:tr w14:paraId="6484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71" w:type="dxa"/>
            <w:noWrap w:val="0"/>
            <w:vAlign w:val="center"/>
          </w:tcPr>
          <w:p w14:paraId="6489E577">
            <w:pPr>
              <w:shd w:val="clear"/>
              <w:jc w:val="center"/>
              <w:rPr>
                <w:rFonts w:hint="eastAsia" w:cs="仿宋"/>
                <w:bCs/>
                <w:highlight w:val="none"/>
              </w:rPr>
            </w:pPr>
            <w:r>
              <w:rPr>
                <w:rFonts w:hint="eastAsia" w:cs="仿宋"/>
                <w:bCs/>
                <w:highlight w:val="none"/>
                <w:lang w:val="en-US" w:eastAsia="zh-CN"/>
              </w:rPr>
              <w:t>综合</w:t>
            </w:r>
            <w:r>
              <w:rPr>
                <w:rFonts w:hint="eastAsia" w:cs="仿宋"/>
                <w:bCs/>
                <w:highlight w:val="none"/>
              </w:rPr>
              <w:t>评分</w:t>
            </w:r>
          </w:p>
          <w:p w14:paraId="1D071FE6">
            <w:pPr>
              <w:shd w:val="clear"/>
              <w:ind w:left="-136" w:leftChars="-57" w:right="-204" w:rightChars="-85"/>
              <w:jc w:val="center"/>
              <w:rPr>
                <w:rFonts w:cs="仿宋"/>
                <w:bCs/>
                <w:highlight w:val="none"/>
              </w:rPr>
            </w:pPr>
            <w:r>
              <w:rPr>
                <w:rFonts w:hint="eastAsia" w:cs="仿宋"/>
                <w:bCs/>
                <w:highlight w:val="none"/>
              </w:rPr>
              <w:t>(</w:t>
            </w:r>
            <w:r>
              <w:rPr>
                <w:rFonts w:hint="eastAsia" w:cs="仿宋"/>
                <w:bCs/>
                <w:highlight w:val="none"/>
                <w:lang w:val="en-US" w:eastAsia="zh-CN"/>
              </w:rPr>
              <w:t>15</w:t>
            </w:r>
            <w:r>
              <w:rPr>
                <w:rFonts w:hint="eastAsia" w:cs="仿宋"/>
                <w:bCs/>
                <w:highlight w:val="none"/>
              </w:rPr>
              <w:t>分)</w:t>
            </w:r>
          </w:p>
        </w:tc>
        <w:tc>
          <w:tcPr>
            <w:tcW w:w="2190" w:type="dxa"/>
            <w:noWrap w:val="0"/>
            <w:vAlign w:val="center"/>
          </w:tcPr>
          <w:p w14:paraId="752EFB3F">
            <w:pPr>
              <w:shd w:val="clear"/>
              <w:jc w:val="center"/>
              <w:rPr>
                <w:rFonts w:hint="default" w:eastAsia="宋体" w:cs="仿宋"/>
                <w:bCs/>
                <w:highlight w:val="none"/>
                <w:lang w:val="en-US" w:eastAsia="zh-CN"/>
              </w:rPr>
            </w:pPr>
            <w:r>
              <w:rPr>
                <w:rFonts w:hint="eastAsia" w:cs="仿宋"/>
                <w:bCs/>
                <w:highlight w:val="none"/>
                <w:lang w:val="en-US" w:eastAsia="zh-CN"/>
              </w:rPr>
              <w:t>综合评分15分</w:t>
            </w:r>
          </w:p>
        </w:tc>
        <w:tc>
          <w:tcPr>
            <w:tcW w:w="5994" w:type="dxa"/>
            <w:noWrap w:val="0"/>
            <w:vAlign w:val="center"/>
          </w:tcPr>
          <w:p w14:paraId="6E4FEF67">
            <w:pPr>
              <w:shd w:val="clear"/>
              <w:rPr>
                <w:rFonts w:hint="default" w:cs="仿宋"/>
                <w:bCs/>
                <w:highlight w:val="none"/>
                <w:lang w:val="en-US" w:eastAsia="zh-CN"/>
              </w:rPr>
            </w:pPr>
            <w:r>
              <w:rPr>
                <w:rFonts w:hint="eastAsia" w:cs="仿宋"/>
                <w:bCs/>
                <w:highlight w:val="none"/>
                <w:lang w:val="en-US" w:eastAsia="zh-CN"/>
              </w:rPr>
              <w:t>评委根据投标方的企业情况、服务响应程度、质保期、单价与市场的偏离度等综合打分，最高15分</w:t>
            </w:r>
          </w:p>
        </w:tc>
      </w:tr>
      <w:tr w14:paraId="6D7C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271" w:type="dxa"/>
            <w:noWrap w:val="0"/>
            <w:vAlign w:val="center"/>
          </w:tcPr>
          <w:p w14:paraId="062BFD30">
            <w:pPr>
              <w:shd w:val="clear"/>
              <w:jc w:val="center"/>
              <w:rPr>
                <w:rFonts w:hint="eastAsia" w:eastAsia="宋体"/>
                <w:highlight w:val="none"/>
                <w:lang w:val="en-US" w:eastAsia="zh-CN"/>
              </w:rPr>
            </w:pPr>
            <w:r>
              <w:rPr>
                <w:rFonts w:hint="eastAsia"/>
                <w:highlight w:val="none"/>
              </w:rPr>
              <w:t>投标报价</w:t>
            </w:r>
            <w:r>
              <w:rPr>
                <w:rFonts w:hint="eastAsia"/>
                <w:highlight w:val="none"/>
                <w:lang w:val="en-US" w:eastAsia="zh-CN"/>
              </w:rPr>
              <w:t>评分</w:t>
            </w:r>
          </w:p>
          <w:p w14:paraId="1F4CDF00">
            <w:pPr>
              <w:pStyle w:val="2"/>
              <w:shd w:val="clear"/>
              <w:ind w:left="0" w:leftChars="0" w:firstLine="0" w:firstLineChars="0"/>
              <w:rPr>
                <w:rFonts w:hint="eastAsia" w:eastAsia="宋体"/>
                <w:highlight w:val="none"/>
                <w:lang w:eastAsia="zh-CN"/>
              </w:rPr>
            </w:pPr>
            <w:r>
              <w:rPr>
                <w:rFonts w:hint="eastAsia" w:cs="仿宋"/>
                <w:bCs/>
                <w:highlight w:val="none"/>
                <w:lang w:eastAsia="zh-CN"/>
              </w:rPr>
              <w:t>（</w:t>
            </w:r>
            <w:r>
              <w:rPr>
                <w:rFonts w:hint="eastAsia" w:cs="仿宋"/>
                <w:bCs/>
                <w:highlight w:val="none"/>
                <w:lang w:val="en-US" w:eastAsia="zh-CN"/>
              </w:rPr>
              <w:t>80分</w:t>
            </w:r>
            <w:r>
              <w:rPr>
                <w:rFonts w:hint="eastAsia" w:cs="仿宋"/>
                <w:bCs/>
                <w:highlight w:val="none"/>
                <w:lang w:eastAsia="zh-CN"/>
              </w:rPr>
              <w:t>）</w:t>
            </w:r>
          </w:p>
        </w:tc>
        <w:tc>
          <w:tcPr>
            <w:tcW w:w="2190" w:type="dxa"/>
            <w:noWrap w:val="0"/>
            <w:vAlign w:val="center"/>
          </w:tcPr>
          <w:p w14:paraId="1A9172AE">
            <w:pPr>
              <w:shd w:val="clear"/>
              <w:spacing w:line="360" w:lineRule="auto"/>
              <w:jc w:val="center"/>
              <w:rPr>
                <w:rFonts w:cs="仿宋"/>
                <w:bCs/>
                <w:highlight w:val="none"/>
              </w:rPr>
            </w:pPr>
            <w:r>
              <w:rPr>
                <w:rFonts w:hint="eastAsia" w:cs="仿宋"/>
                <w:bCs/>
                <w:highlight w:val="none"/>
                <w:lang w:val="en-US" w:eastAsia="zh-CN"/>
              </w:rPr>
              <w:t>80</w:t>
            </w:r>
            <w:r>
              <w:rPr>
                <w:rFonts w:hint="eastAsia" w:cs="仿宋"/>
                <w:bCs/>
                <w:highlight w:val="none"/>
              </w:rPr>
              <w:t>分</w:t>
            </w:r>
          </w:p>
        </w:tc>
        <w:tc>
          <w:tcPr>
            <w:tcW w:w="5994" w:type="dxa"/>
            <w:noWrap w:val="0"/>
            <w:vAlign w:val="center"/>
          </w:tcPr>
          <w:p w14:paraId="251EA60E">
            <w:pPr>
              <w:shd w:val="clear"/>
              <w:tabs>
                <w:tab w:val="right" w:pos="8306"/>
              </w:tabs>
              <w:spacing w:line="400" w:lineRule="exact"/>
              <w:rPr>
                <w:rFonts w:cs="仿宋"/>
                <w:bCs/>
                <w:highlight w:val="none"/>
              </w:rPr>
            </w:pPr>
            <w:r>
              <w:rPr>
                <w:rFonts w:hint="eastAsia" w:cs="仿宋"/>
                <w:bCs/>
                <w:highlight w:val="none"/>
              </w:rPr>
              <w:t>1.评标基准价</w:t>
            </w:r>
            <w:r>
              <w:rPr>
                <w:rFonts w:hint="eastAsia" w:cs="仿宋"/>
                <w:bCs/>
                <w:highlight w:val="none"/>
                <w:lang w:val="en-US" w:eastAsia="zh-CN"/>
              </w:rPr>
              <w:t>=</w:t>
            </w:r>
            <w:r>
              <w:rPr>
                <w:rFonts w:hint="eastAsia" w:cs="仿宋"/>
                <w:bCs/>
                <w:highlight w:val="none"/>
              </w:rPr>
              <w:t>有效投标人的最低报价值。</w:t>
            </w:r>
          </w:p>
          <w:p w14:paraId="46581A6E">
            <w:pPr>
              <w:shd w:val="clear"/>
              <w:tabs>
                <w:tab w:val="right" w:pos="8306"/>
              </w:tabs>
              <w:spacing w:line="400" w:lineRule="exact"/>
              <w:rPr>
                <w:rFonts w:ascii="宋体" w:hAnsi="宋体" w:cs="仿宋"/>
                <w:bCs/>
                <w:kern w:val="0"/>
                <w:sz w:val="24"/>
                <w:highlight w:val="none"/>
              </w:rPr>
            </w:pPr>
            <w:r>
              <w:rPr>
                <w:rFonts w:hint="eastAsia" w:cs="仿宋"/>
                <w:bCs/>
                <w:highlight w:val="none"/>
              </w:rPr>
              <w:t>2.投标报价分值=评标基准价/投标报价*</w:t>
            </w:r>
            <w:r>
              <w:rPr>
                <w:rFonts w:hint="eastAsia" w:cs="仿宋"/>
                <w:bCs/>
                <w:highlight w:val="none"/>
                <w:lang w:val="en-US" w:eastAsia="zh-CN"/>
              </w:rPr>
              <w:t>80</w:t>
            </w:r>
            <w:r>
              <w:rPr>
                <w:rFonts w:hint="eastAsia" w:cs="仿宋"/>
                <w:bCs/>
                <w:highlight w:val="none"/>
              </w:rPr>
              <w:t>（最高</w:t>
            </w:r>
            <w:r>
              <w:rPr>
                <w:rFonts w:hint="eastAsia" w:cs="仿宋"/>
                <w:bCs/>
                <w:highlight w:val="none"/>
                <w:lang w:val="en-US" w:eastAsia="zh-CN"/>
              </w:rPr>
              <w:t>80</w:t>
            </w:r>
            <w:r>
              <w:rPr>
                <w:rFonts w:hint="eastAsia" w:cs="仿宋"/>
                <w:bCs/>
                <w:highlight w:val="none"/>
              </w:rPr>
              <w:t>分）</w:t>
            </w:r>
          </w:p>
        </w:tc>
      </w:tr>
    </w:tbl>
    <w:p w14:paraId="6DFBA2CF">
      <w:pPr>
        <w:pStyle w:val="57"/>
        <w:widowControl/>
        <w:shd w:val="clear"/>
        <w:spacing w:beforeLines="0" w:line="300" w:lineRule="auto"/>
        <w:ind w:left="1233" w:leftChars="514" w:firstLine="660" w:firstLineChars="150"/>
        <w:jc w:val="both"/>
        <w:outlineLvl w:val="9"/>
        <w:rPr>
          <w:color w:val="000000"/>
          <w:kern w:val="0"/>
          <w:szCs w:val="21"/>
          <w:highlight w:val="none"/>
        </w:rPr>
      </w:pPr>
    </w:p>
    <w:p w14:paraId="319D0C0C">
      <w:pPr>
        <w:shd w:val="clear"/>
        <w:spacing w:before="156" w:beforeLines="50" w:after="156" w:afterLines="50" w:line="480" w:lineRule="exact"/>
        <w:jc w:val="center"/>
        <w:outlineLvl w:val="0"/>
        <w:rPr>
          <w:rFonts w:ascii="宋体" w:hAnsi="宋体"/>
          <w:color w:val="000000"/>
          <w:sz w:val="28"/>
          <w:szCs w:val="28"/>
          <w:highlight w:val="none"/>
        </w:rPr>
      </w:pPr>
      <w:bookmarkStart w:id="211" w:name="_Toc20051"/>
      <w:r>
        <w:rPr>
          <w:rFonts w:hint="eastAsia" w:ascii="宋体" w:hAnsi="宋体"/>
          <w:color w:val="000000"/>
          <w:sz w:val="28"/>
          <w:szCs w:val="28"/>
          <w:highlight w:val="none"/>
        </w:rPr>
        <w:t>废 标 条 件</w:t>
      </w:r>
      <w:bookmarkEnd w:id="211"/>
    </w:p>
    <w:p w14:paraId="3DEF8FBB">
      <w:pPr>
        <w:shd w:val="clear"/>
        <w:spacing w:before="156" w:beforeLines="50" w:after="156" w:afterLines="50" w:line="480" w:lineRule="exact"/>
        <w:jc w:val="left"/>
        <w:rPr>
          <w:rFonts w:ascii="宋体" w:hAnsi="宋体"/>
          <w:color w:val="000000"/>
          <w:szCs w:val="21"/>
          <w:highlight w:val="none"/>
        </w:rPr>
      </w:pPr>
      <w:r>
        <w:rPr>
          <w:rFonts w:hint="eastAsia" w:ascii="宋体" w:hAnsi="宋体"/>
          <w:color w:val="000000"/>
          <w:szCs w:val="21"/>
          <w:highlight w:val="none"/>
        </w:rPr>
        <w:t>B0.总则</w:t>
      </w:r>
    </w:p>
    <w:p w14:paraId="4D17F943">
      <w:pPr>
        <w:shd w:val="clear"/>
        <w:spacing w:before="156" w:beforeLines="50" w:after="156" w:afterLines="50" w:line="480" w:lineRule="exact"/>
        <w:ind w:firstLine="480" w:firstLineChars="200"/>
        <w:jc w:val="left"/>
        <w:rPr>
          <w:rFonts w:ascii="宋体" w:hAnsi="宋体"/>
          <w:color w:val="000000"/>
          <w:szCs w:val="21"/>
          <w:highlight w:val="none"/>
        </w:rPr>
      </w:pPr>
      <w:r>
        <w:rPr>
          <w:rFonts w:hint="eastAsia" w:ascii="宋体" w:hAnsi="宋体"/>
          <w:color w:val="000000"/>
          <w:szCs w:val="21"/>
          <w:highlight w:val="none"/>
        </w:rPr>
        <w:t>本附件所集中列示的废标条件，是本章“评标办法”的组成部分，是对第二章“投标人须知”和本章正文部分所规定的废标条件的总结和补充。</w:t>
      </w:r>
    </w:p>
    <w:p w14:paraId="690C785F">
      <w:pPr>
        <w:shd w:val="clear"/>
        <w:spacing w:line="480" w:lineRule="exact"/>
        <w:jc w:val="left"/>
        <w:rPr>
          <w:rFonts w:ascii="宋体" w:hAnsi="宋体"/>
          <w:color w:val="000000"/>
          <w:szCs w:val="21"/>
          <w:highlight w:val="none"/>
        </w:rPr>
      </w:pPr>
      <w:r>
        <w:rPr>
          <w:rFonts w:hint="eastAsia" w:ascii="宋体" w:hAnsi="宋体"/>
          <w:color w:val="000000"/>
          <w:szCs w:val="21"/>
          <w:highlight w:val="none"/>
        </w:rPr>
        <w:t xml:space="preserve">B1.废标条件 </w:t>
      </w:r>
    </w:p>
    <w:p w14:paraId="1E813AD0">
      <w:pPr>
        <w:shd w:val="clear"/>
        <w:spacing w:line="480" w:lineRule="exact"/>
        <w:jc w:val="left"/>
        <w:rPr>
          <w:rFonts w:ascii="宋体" w:hAnsi="宋体"/>
          <w:color w:val="000000"/>
          <w:szCs w:val="21"/>
          <w:highlight w:val="none"/>
        </w:rPr>
      </w:pPr>
      <w:r>
        <w:rPr>
          <w:rFonts w:hint="eastAsia" w:ascii="宋体" w:hAnsi="宋体"/>
          <w:color w:val="000000"/>
          <w:szCs w:val="21"/>
          <w:highlight w:val="none"/>
        </w:rPr>
        <w:t xml:space="preserve">    投标人或其投标文件有下列情形之一的，其投标作废标处理：</w:t>
      </w:r>
    </w:p>
    <w:p w14:paraId="72FA7BE8">
      <w:pPr>
        <w:shd w:val="clear"/>
        <w:spacing w:line="480" w:lineRule="exact"/>
        <w:ind w:firstLine="480" w:firstLineChars="200"/>
        <w:jc w:val="left"/>
        <w:rPr>
          <w:rFonts w:ascii="宋体" w:hAnsi="宋体"/>
          <w:color w:val="000000"/>
          <w:szCs w:val="21"/>
          <w:highlight w:val="none"/>
        </w:rPr>
      </w:pPr>
      <w:r>
        <w:rPr>
          <w:rFonts w:hint="eastAsia" w:ascii="宋体" w:hAnsi="宋体"/>
          <w:color w:val="000000"/>
          <w:szCs w:val="21"/>
          <w:highlight w:val="none"/>
        </w:rPr>
        <w:t>B1.1有第二章“投标人须知”第1.4.3项规定的任何一种情形的。</w:t>
      </w:r>
    </w:p>
    <w:p w14:paraId="61ADB921">
      <w:pPr>
        <w:shd w:val="clear"/>
        <w:spacing w:line="480" w:lineRule="exact"/>
        <w:ind w:firstLine="480" w:firstLineChars="200"/>
        <w:jc w:val="left"/>
        <w:rPr>
          <w:rFonts w:ascii="宋体" w:hAnsi="宋体"/>
          <w:color w:val="000000"/>
          <w:szCs w:val="21"/>
          <w:highlight w:val="none"/>
        </w:rPr>
      </w:pPr>
      <w:r>
        <w:rPr>
          <w:rFonts w:hint="eastAsia" w:ascii="宋体" w:hAnsi="宋体"/>
          <w:color w:val="000000"/>
          <w:szCs w:val="21"/>
          <w:highlight w:val="none"/>
        </w:rPr>
        <w:t>B1.2 有串通投标或弄虚作假或其他违法行为的，详见下款：</w:t>
      </w:r>
    </w:p>
    <w:p w14:paraId="49DCA468">
      <w:pPr>
        <w:shd w:val="clear"/>
        <w:spacing w:line="480" w:lineRule="exact"/>
        <w:ind w:firstLine="480" w:firstLineChars="200"/>
        <w:jc w:val="left"/>
        <w:rPr>
          <w:rFonts w:ascii="宋体" w:hAnsi="宋体"/>
          <w:bCs/>
          <w:color w:val="000000"/>
          <w:kern w:val="0"/>
          <w:szCs w:val="21"/>
          <w:highlight w:val="none"/>
        </w:rPr>
      </w:pPr>
      <w:r>
        <w:rPr>
          <w:rFonts w:hint="eastAsia" w:ascii="宋体" w:hAnsi="宋体"/>
          <w:bCs/>
          <w:color w:val="000000"/>
          <w:kern w:val="0"/>
          <w:szCs w:val="21"/>
          <w:highlight w:val="none"/>
        </w:rPr>
        <w:t>B1.2.1投标人之间协商投标报价等投标文件的实质性内容；</w:t>
      </w:r>
    </w:p>
    <w:p w14:paraId="6EB98BF9">
      <w:pPr>
        <w:shd w:val="clear"/>
        <w:spacing w:line="480" w:lineRule="exact"/>
        <w:ind w:firstLine="480" w:firstLineChars="200"/>
        <w:jc w:val="left"/>
        <w:rPr>
          <w:rFonts w:ascii="宋体" w:hAnsi="宋体"/>
          <w:bCs/>
          <w:color w:val="000000"/>
          <w:kern w:val="0"/>
          <w:szCs w:val="21"/>
          <w:highlight w:val="none"/>
        </w:rPr>
      </w:pPr>
      <w:r>
        <w:rPr>
          <w:rFonts w:hint="eastAsia" w:ascii="宋体" w:hAnsi="宋体"/>
          <w:bCs/>
          <w:color w:val="000000"/>
          <w:kern w:val="0"/>
          <w:szCs w:val="21"/>
          <w:highlight w:val="none"/>
        </w:rPr>
        <w:t>B1.2.2投标人之间约定中标人；</w:t>
      </w:r>
    </w:p>
    <w:p w14:paraId="66EE0A5B">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 xml:space="preserve"> B1.2.3投标人之间约定部分投标人放弃投标或者中标；</w:t>
      </w:r>
    </w:p>
    <w:p w14:paraId="14AE8A9E">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 xml:space="preserve"> B1.2.5投标人之间为谋取中标或者排斥特定投标人而采取的其他联合行动；</w:t>
      </w:r>
    </w:p>
    <w:p w14:paraId="15465968">
      <w:pPr>
        <w:shd w:val="clear"/>
        <w:autoSpaceDE w:val="0"/>
        <w:autoSpaceDN w:val="0"/>
        <w:spacing w:line="500" w:lineRule="exact"/>
        <w:ind w:firstLine="484" w:firstLineChars="202"/>
        <w:jc w:val="left"/>
        <w:rPr>
          <w:rFonts w:ascii="宋体" w:hAnsi="宋体"/>
          <w:bCs/>
          <w:color w:val="000000"/>
          <w:kern w:val="0"/>
          <w:szCs w:val="21"/>
          <w:highlight w:val="none"/>
        </w:rPr>
      </w:pPr>
      <w:r>
        <w:rPr>
          <w:rFonts w:hint="eastAsia" w:ascii="宋体" w:hAnsi="宋体"/>
          <w:bCs/>
          <w:color w:val="000000"/>
          <w:kern w:val="0"/>
          <w:szCs w:val="21"/>
          <w:highlight w:val="none"/>
        </w:rPr>
        <w:t>B1.2.6不同投标人的投标文件由同一单位或者个人编制；</w:t>
      </w:r>
    </w:p>
    <w:p w14:paraId="759B968A">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 xml:space="preserve"> B1.2.7不同投标人委托同一单位或者个人办理投标事宜；</w:t>
      </w:r>
    </w:p>
    <w:p w14:paraId="6B8E7B0F">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 xml:space="preserve"> B1.2.8不同投标人的投标文件载明的项目管理成员为同一人；</w:t>
      </w:r>
    </w:p>
    <w:p w14:paraId="505BD457">
      <w:pPr>
        <w:shd w:val="clear"/>
        <w:autoSpaceDE w:val="0"/>
        <w:autoSpaceDN w:val="0"/>
        <w:spacing w:line="500" w:lineRule="exact"/>
        <w:ind w:firstLine="360" w:firstLineChars="150"/>
        <w:jc w:val="left"/>
        <w:rPr>
          <w:rFonts w:ascii="宋体" w:hAnsi="宋体"/>
          <w:bCs/>
          <w:color w:val="000000"/>
          <w:kern w:val="0"/>
          <w:szCs w:val="21"/>
          <w:highlight w:val="none"/>
        </w:rPr>
      </w:pPr>
      <w:r>
        <w:rPr>
          <w:rFonts w:hint="eastAsia" w:ascii="宋体" w:hAnsi="宋体"/>
          <w:bCs/>
          <w:color w:val="000000"/>
          <w:kern w:val="0"/>
          <w:szCs w:val="21"/>
          <w:highlight w:val="none"/>
        </w:rPr>
        <w:t xml:space="preserve"> B1.2.9 不同投标人聘请同一个人为其投标提供技术或者经济咨询服务的，但招标工程本身要求采用专有技术的除外；</w:t>
      </w:r>
    </w:p>
    <w:p w14:paraId="29E6C799">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B1.2.10不同投标人的投标文件异常一致或者投标报价呈规律性差异；</w:t>
      </w:r>
    </w:p>
    <w:p w14:paraId="531F3D01">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B1.2.11不同投标人的投标文件错漏之处一致的；</w:t>
      </w:r>
    </w:p>
    <w:p w14:paraId="169A7DE6">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B1.2.12不同投标人的投标文件相互混装；</w:t>
      </w:r>
    </w:p>
    <w:p w14:paraId="282C8C73">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B1.2.13不同投标人的投标文件由同一台电脑编制或者同一台附属设备打印；</w:t>
      </w:r>
    </w:p>
    <w:p w14:paraId="48DBA41D">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B1.2.14不同投标人的投标保证金从同一单位或者个人的账户转出；</w:t>
      </w:r>
    </w:p>
    <w:p w14:paraId="315F7158">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B1.2.15不同投标人使用同一个人或者企业资金交纳投标保证金或者投标保函的反担保的；</w:t>
      </w:r>
    </w:p>
    <w:p w14:paraId="0369CEC1">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B1.2.16使用伪造、变造的许可证件；</w:t>
      </w:r>
    </w:p>
    <w:p w14:paraId="31F3E824">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B1.2.17提供虚假的财务状况或者业绩；</w:t>
      </w:r>
    </w:p>
    <w:p w14:paraId="36C664B0">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B1.2.18提供虚假的项目负责人或者主要技术人员简历、劳动关系证明；</w:t>
      </w:r>
    </w:p>
    <w:p w14:paraId="063C5BA3">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B1.2.19提供虚假的信用状况；</w:t>
      </w:r>
    </w:p>
    <w:p w14:paraId="4EBA3A5B">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B1.2.20其他弄虚作假的行为；</w:t>
      </w:r>
    </w:p>
    <w:p w14:paraId="02BEC895">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B1.2.21招标人在开标前开启投标文件并将有关信息泄露给其他投标人；</w:t>
      </w:r>
    </w:p>
    <w:p w14:paraId="63B1B1D8">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B1.2.22招标人直接或者间接向投标人泄露标底、评标委员会成员等信息；</w:t>
      </w:r>
    </w:p>
    <w:p w14:paraId="4B713D0C">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B1.2.23招标人明示或者暗示投标人压低或者抬高投标报价；</w:t>
      </w:r>
    </w:p>
    <w:p w14:paraId="7CEFF609">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B1.2.24招标人授意投标人撤换、修改投标文件；</w:t>
      </w:r>
    </w:p>
    <w:p w14:paraId="5735708A">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B1.2.25招标人明示或者暗示投标人为特定投标人中标提供方便；</w:t>
      </w:r>
    </w:p>
    <w:p w14:paraId="088BB37F">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B1.2.26招标人与投标人为谋求特定投标人中标而采取的其他串通行为；</w:t>
      </w:r>
    </w:p>
    <w:p w14:paraId="0424CCC5">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B1.2.27评标委员会认定的其他串通投标情形；</w:t>
      </w:r>
    </w:p>
    <w:p w14:paraId="03F867FE">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B1.3不按评标委员会要求澄清、说明或补正的。</w:t>
      </w:r>
    </w:p>
    <w:p w14:paraId="287C6245">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B1.4在形式评审、资格评审（适用于未进行资格预审的）、响应性评审中，评标委员会认定投标人的投标文件不符合评标办法前附表中规定的任何一项评审标准的。</w:t>
      </w:r>
    </w:p>
    <w:p w14:paraId="78303ED3">
      <w:pPr>
        <w:shd w:val="clear"/>
        <w:autoSpaceDE w:val="0"/>
        <w:autoSpaceDN w:val="0"/>
        <w:spacing w:line="500" w:lineRule="exact"/>
        <w:ind w:firstLine="360"/>
        <w:jc w:val="left"/>
        <w:rPr>
          <w:rFonts w:ascii="宋体" w:hAnsi="宋体"/>
          <w:bCs/>
          <w:color w:val="000000"/>
          <w:kern w:val="0"/>
          <w:szCs w:val="21"/>
          <w:highlight w:val="none"/>
        </w:rPr>
      </w:pPr>
      <w:r>
        <w:rPr>
          <w:rFonts w:ascii="宋体" w:hAnsi="宋体"/>
          <w:bCs/>
          <w:color w:val="000000"/>
          <w:kern w:val="0"/>
          <w:szCs w:val="21"/>
          <w:highlight w:val="none"/>
        </w:rPr>
        <w:t>B1.6投标报价文件（投标函除外）未经有资格的</w:t>
      </w:r>
      <w:r>
        <w:rPr>
          <w:rFonts w:hint="eastAsia" w:ascii="宋体" w:hAnsi="宋体"/>
          <w:bCs/>
          <w:color w:val="000000"/>
          <w:kern w:val="0"/>
          <w:szCs w:val="21"/>
          <w:highlight w:val="none"/>
        </w:rPr>
        <w:t>注册</w:t>
      </w:r>
      <w:r>
        <w:rPr>
          <w:rFonts w:ascii="宋体" w:hAnsi="宋体"/>
          <w:bCs/>
          <w:color w:val="000000"/>
          <w:kern w:val="0"/>
          <w:szCs w:val="21"/>
          <w:highlight w:val="none"/>
        </w:rPr>
        <w:t>造价</w:t>
      </w:r>
      <w:r>
        <w:rPr>
          <w:rFonts w:hint="eastAsia" w:ascii="宋体" w:hAnsi="宋体"/>
          <w:bCs/>
          <w:color w:val="000000"/>
          <w:kern w:val="0"/>
          <w:szCs w:val="21"/>
          <w:highlight w:val="none"/>
        </w:rPr>
        <w:t>工程师</w:t>
      </w:r>
      <w:r>
        <w:rPr>
          <w:rFonts w:ascii="宋体" w:hAnsi="宋体"/>
          <w:bCs/>
          <w:color w:val="000000"/>
          <w:kern w:val="0"/>
          <w:szCs w:val="21"/>
          <w:highlight w:val="none"/>
        </w:rPr>
        <w:t>签字并加盖</w:t>
      </w:r>
      <w:r>
        <w:rPr>
          <w:rFonts w:hint="eastAsia" w:ascii="宋体" w:hAnsi="宋体"/>
          <w:bCs/>
          <w:color w:val="000000"/>
          <w:kern w:val="0"/>
          <w:szCs w:val="21"/>
          <w:highlight w:val="none"/>
        </w:rPr>
        <w:t>其</w:t>
      </w:r>
      <w:r>
        <w:rPr>
          <w:rFonts w:ascii="宋体" w:hAnsi="宋体"/>
          <w:bCs/>
          <w:color w:val="000000"/>
          <w:kern w:val="0"/>
          <w:szCs w:val="21"/>
          <w:highlight w:val="none"/>
        </w:rPr>
        <w:t>执业专用章的</w:t>
      </w:r>
      <w:r>
        <w:rPr>
          <w:rFonts w:hint="eastAsia" w:ascii="宋体" w:hAnsi="宋体"/>
          <w:bCs/>
          <w:color w:val="000000"/>
          <w:kern w:val="0"/>
          <w:szCs w:val="21"/>
          <w:highlight w:val="none"/>
        </w:rPr>
        <w:t>(盖章的注册造价工程师应是在本单位注册人员，或是投标人委托的造价咨询机构注册造价工程师并附委托合同)</w:t>
      </w:r>
      <w:r>
        <w:rPr>
          <w:rFonts w:ascii="宋体" w:hAnsi="宋体"/>
          <w:bCs/>
          <w:color w:val="000000"/>
          <w:kern w:val="0"/>
          <w:szCs w:val="21"/>
          <w:highlight w:val="none"/>
        </w:rPr>
        <w:t>。</w:t>
      </w:r>
    </w:p>
    <w:p w14:paraId="74ABB43E">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B1.7在技术标和资信标评审中，评标委员会认定投标人的投标未能通过此项评审的。</w:t>
      </w:r>
    </w:p>
    <w:p w14:paraId="44888565">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B1.8评标委员会认定投标人以低于成本报价竞标的。</w:t>
      </w:r>
    </w:p>
    <w:p w14:paraId="2D76056D">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B1.9投标人未按第二章“投标人须知”第10.6款规定出席开标会的。</w:t>
      </w:r>
    </w:p>
    <w:p w14:paraId="0A0B3E98">
      <w:pPr>
        <w:pStyle w:val="57"/>
        <w:widowControl/>
        <w:shd w:val="clear"/>
        <w:spacing w:beforeLines="0" w:line="300" w:lineRule="auto"/>
        <w:ind w:left="1233" w:leftChars="514" w:firstLine="660" w:firstLineChars="150"/>
        <w:jc w:val="both"/>
        <w:outlineLvl w:val="9"/>
        <w:rPr>
          <w:rFonts w:hint="eastAsia"/>
          <w:color w:val="000000"/>
          <w:kern w:val="0"/>
          <w:szCs w:val="21"/>
          <w:highlight w:val="none"/>
        </w:rPr>
      </w:pPr>
    </w:p>
    <w:p w14:paraId="104F226E">
      <w:pPr>
        <w:pStyle w:val="57"/>
        <w:widowControl/>
        <w:shd w:val="clear"/>
        <w:spacing w:beforeLines="0" w:line="300" w:lineRule="auto"/>
        <w:ind w:left="1233" w:leftChars="514" w:firstLine="660" w:firstLineChars="150"/>
        <w:jc w:val="both"/>
        <w:outlineLvl w:val="9"/>
        <w:rPr>
          <w:rFonts w:hint="eastAsia"/>
          <w:color w:val="000000"/>
          <w:kern w:val="0"/>
          <w:szCs w:val="21"/>
          <w:highlight w:val="none"/>
        </w:rPr>
      </w:pPr>
    </w:p>
    <w:p w14:paraId="16FFE8B3">
      <w:pPr>
        <w:pStyle w:val="5"/>
        <w:shd w:val="clear"/>
        <w:jc w:val="center"/>
        <w:outlineLvl w:val="0"/>
        <w:rPr>
          <w:highlight w:val="none"/>
        </w:rPr>
      </w:pPr>
      <w:r>
        <w:rPr>
          <w:rFonts w:hint="eastAsia"/>
          <w:color w:val="000000"/>
          <w:kern w:val="0"/>
          <w:szCs w:val="21"/>
          <w:highlight w:val="none"/>
        </w:rPr>
        <w:br w:type="page"/>
      </w:r>
      <w:bookmarkStart w:id="212" w:name="_Toc13121"/>
      <w:bookmarkStart w:id="213" w:name="_Toc18792_WPSOffice_Level1"/>
      <w:r>
        <w:rPr>
          <w:rFonts w:hint="eastAsia" w:ascii="Times New Roman" w:hAnsi="Times New Roman" w:eastAsia="黑体" w:cs="Times New Roman"/>
          <w:b/>
          <w:bCs w:val="0"/>
          <w:color w:val="000000"/>
          <w:kern w:val="0"/>
          <w:sz w:val="44"/>
          <w:szCs w:val="21"/>
          <w:highlight w:val="none"/>
          <w:lang w:val="en-US" w:eastAsia="zh-CN" w:bidi="ar-SA"/>
        </w:rPr>
        <w:t>第四章</w:t>
      </w:r>
      <w:r>
        <w:rPr>
          <w:rFonts w:hint="eastAsia" w:ascii="Times New Roman" w:hAnsi="Times New Roman" w:cs="Times New Roman"/>
          <w:b/>
          <w:bCs w:val="0"/>
          <w:color w:val="000000"/>
          <w:kern w:val="0"/>
          <w:sz w:val="44"/>
          <w:szCs w:val="21"/>
          <w:highlight w:val="none"/>
          <w:lang w:val="en-US" w:eastAsia="zh-CN" w:bidi="ar-SA"/>
        </w:rPr>
        <w:t xml:space="preserve"> </w:t>
      </w:r>
      <w:r>
        <w:rPr>
          <w:rFonts w:hint="eastAsia" w:ascii="Times New Roman" w:hAnsi="Times New Roman" w:eastAsia="黑体" w:cs="Times New Roman"/>
          <w:b/>
          <w:bCs w:val="0"/>
          <w:color w:val="000000"/>
          <w:kern w:val="0"/>
          <w:sz w:val="44"/>
          <w:szCs w:val="21"/>
          <w:highlight w:val="none"/>
          <w:lang w:val="en-US" w:eastAsia="zh-CN" w:bidi="ar-SA"/>
        </w:rPr>
        <w:t>技术要求</w:t>
      </w:r>
      <w:bookmarkEnd w:id="212"/>
      <w:bookmarkEnd w:id="213"/>
    </w:p>
    <w:p w14:paraId="269615CD">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sz w:val="28"/>
          <w:szCs w:val="28"/>
          <w:highlight w:val="none"/>
          <w:lang w:eastAsia="zh-CN"/>
        </w:rPr>
      </w:pPr>
      <w:r>
        <w:rPr>
          <w:rFonts w:hint="eastAsia" w:ascii="仿宋_GB2312" w:hAnsi="仿宋_GB2312" w:eastAsia="仿宋_GB2312" w:cs="仿宋_GB2312"/>
          <w:b w:val="0"/>
          <w:bCs w:val="0"/>
          <w:color w:val="000000"/>
          <w:sz w:val="28"/>
          <w:szCs w:val="28"/>
          <w:highlight w:val="none"/>
        </w:rPr>
        <w:t>1、依据电机修理的行业标准、</w:t>
      </w:r>
      <w:r>
        <w:rPr>
          <w:rFonts w:hint="eastAsia" w:ascii="仿宋_GB2312" w:hAnsi="仿宋_GB2312" w:eastAsia="仿宋_GB2312" w:cs="仿宋_GB2312"/>
          <w:b w:val="0"/>
          <w:bCs w:val="0"/>
          <w:color w:val="000000"/>
          <w:sz w:val="28"/>
          <w:szCs w:val="28"/>
          <w:highlight w:val="none"/>
          <w:lang w:val="en-US" w:eastAsia="zh-CN"/>
        </w:rPr>
        <w:t>招标方</w:t>
      </w:r>
      <w:r>
        <w:rPr>
          <w:rFonts w:hint="eastAsia" w:ascii="仿宋_GB2312" w:hAnsi="仿宋_GB2312" w:eastAsia="仿宋_GB2312" w:cs="仿宋_GB2312"/>
          <w:b w:val="0"/>
          <w:bCs w:val="0"/>
          <w:color w:val="000000"/>
          <w:sz w:val="28"/>
          <w:szCs w:val="28"/>
          <w:highlight w:val="none"/>
        </w:rPr>
        <w:t>的技术</w:t>
      </w:r>
      <w:r>
        <w:rPr>
          <w:rFonts w:hint="eastAsia" w:ascii="仿宋_GB2312" w:hAnsi="仿宋_GB2312" w:eastAsia="仿宋_GB2312" w:cs="仿宋_GB2312"/>
          <w:b w:val="0"/>
          <w:bCs w:val="0"/>
          <w:color w:val="000000"/>
          <w:sz w:val="28"/>
          <w:szCs w:val="28"/>
          <w:highlight w:val="none"/>
          <w:lang w:val="en-US" w:eastAsia="zh-CN"/>
        </w:rPr>
        <w:t>要求</w:t>
      </w:r>
      <w:r>
        <w:rPr>
          <w:rFonts w:hint="eastAsia" w:ascii="仿宋_GB2312" w:hAnsi="仿宋_GB2312" w:eastAsia="仿宋_GB2312" w:cs="仿宋_GB2312"/>
          <w:b w:val="0"/>
          <w:bCs w:val="0"/>
          <w:color w:val="000000"/>
          <w:sz w:val="28"/>
          <w:szCs w:val="28"/>
          <w:highlight w:val="none"/>
        </w:rPr>
        <w:t>，保证质量、按期完成电机修理工程</w:t>
      </w:r>
      <w:r>
        <w:rPr>
          <w:rFonts w:hint="eastAsia" w:ascii="仿宋_GB2312" w:hAnsi="仿宋_GB2312" w:eastAsia="仿宋_GB2312" w:cs="仿宋_GB2312"/>
          <w:b w:val="0"/>
          <w:bCs w:val="0"/>
          <w:color w:val="000000"/>
          <w:sz w:val="28"/>
          <w:szCs w:val="28"/>
          <w:highlight w:val="none"/>
          <w:lang w:eastAsia="zh-CN"/>
        </w:rPr>
        <w:t>。</w:t>
      </w:r>
    </w:p>
    <w:p w14:paraId="0DAA1729">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sz w:val="28"/>
          <w:szCs w:val="28"/>
          <w:highlight w:val="none"/>
          <w:lang w:eastAsia="zh-CN"/>
        </w:rPr>
      </w:pPr>
      <w:r>
        <w:rPr>
          <w:rFonts w:hint="eastAsia" w:ascii="仿宋_GB2312" w:hAnsi="仿宋_GB2312" w:eastAsia="仿宋_GB2312" w:cs="仿宋_GB2312"/>
          <w:b w:val="0"/>
          <w:bCs w:val="0"/>
          <w:color w:val="000000"/>
          <w:sz w:val="28"/>
          <w:szCs w:val="28"/>
          <w:highlight w:val="none"/>
        </w:rPr>
        <w:t>2、接到电机修理通知后，</w:t>
      </w:r>
      <w:r>
        <w:rPr>
          <w:rFonts w:hint="eastAsia" w:ascii="仿宋_GB2312" w:hAnsi="仿宋_GB2312" w:eastAsia="仿宋_GB2312" w:cs="仿宋_GB2312"/>
          <w:b w:val="0"/>
          <w:bCs w:val="0"/>
          <w:color w:val="000000"/>
          <w:sz w:val="28"/>
          <w:szCs w:val="28"/>
          <w:highlight w:val="none"/>
          <w:lang w:val="en-US" w:eastAsia="zh-CN"/>
        </w:rPr>
        <w:t>24小时内</w:t>
      </w:r>
      <w:r>
        <w:rPr>
          <w:rFonts w:hint="eastAsia" w:ascii="仿宋_GB2312" w:hAnsi="仿宋_GB2312" w:eastAsia="仿宋_GB2312" w:cs="仿宋_GB2312"/>
          <w:b w:val="0"/>
          <w:bCs w:val="0"/>
          <w:color w:val="000000"/>
          <w:sz w:val="28"/>
          <w:szCs w:val="28"/>
          <w:highlight w:val="none"/>
        </w:rPr>
        <w:t>到</w:t>
      </w:r>
      <w:r>
        <w:rPr>
          <w:rFonts w:hint="eastAsia" w:ascii="仿宋_GB2312" w:hAnsi="仿宋_GB2312" w:eastAsia="仿宋_GB2312" w:cs="仿宋_GB2312"/>
          <w:b w:val="0"/>
          <w:bCs w:val="0"/>
          <w:color w:val="000000"/>
          <w:sz w:val="28"/>
          <w:szCs w:val="28"/>
          <w:highlight w:val="none"/>
          <w:lang w:eastAsia="zh-CN"/>
        </w:rPr>
        <w:t>招标人</w:t>
      </w:r>
      <w:r>
        <w:rPr>
          <w:rFonts w:hint="eastAsia" w:ascii="仿宋_GB2312" w:hAnsi="仿宋_GB2312" w:eastAsia="仿宋_GB2312" w:cs="仿宋_GB2312"/>
          <w:b w:val="0"/>
          <w:bCs w:val="0"/>
          <w:color w:val="000000"/>
          <w:sz w:val="28"/>
          <w:szCs w:val="28"/>
          <w:highlight w:val="none"/>
        </w:rPr>
        <w:t>电机安装或指定地点将电机拉走，</w:t>
      </w:r>
      <w:r>
        <w:rPr>
          <w:rFonts w:hint="eastAsia" w:ascii="仿宋_GB2312" w:hAnsi="仿宋_GB2312" w:eastAsia="仿宋_GB2312" w:cs="仿宋_GB2312"/>
          <w:color w:val="000000"/>
          <w:sz w:val="28"/>
          <w:szCs w:val="28"/>
          <w:highlight w:val="none"/>
        </w:rPr>
        <w:t>修理完毕后</w:t>
      </w:r>
      <w:r>
        <w:rPr>
          <w:rFonts w:hint="eastAsia" w:ascii="仿宋_GB2312" w:hAnsi="仿宋_GB2312" w:eastAsia="仿宋_GB2312" w:cs="仿宋_GB2312"/>
          <w:color w:val="000000"/>
          <w:sz w:val="28"/>
          <w:szCs w:val="28"/>
          <w:highlight w:val="none"/>
          <w:lang w:val="en-US" w:eastAsia="zh-CN"/>
        </w:rPr>
        <w:t>悬挂维修时间标牌</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b w:val="0"/>
          <w:bCs w:val="0"/>
          <w:color w:val="000000"/>
          <w:sz w:val="28"/>
          <w:szCs w:val="28"/>
          <w:highlight w:val="none"/>
        </w:rPr>
        <w:t>及时送至指定的电机安装或存放地点</w:t>
      </w:r>
      <w:r>
        <w:rPr>
          <w:rFonts w:hint="eastAsia" w:ascii="仿宋_GB2312" w:hAnsi="仿宋_GB2312" w:eastAsia="仿宋_GB2312" w:cs="仿宋_GB2312"/>
          <w:b w:val="0"/>
          <w:bCs w:val="0"/>
          <w:color w:val="000000"/>
          <w:sz w:val="28"/>
          <w:szCs w:val="28"/>
          <w:highlight w:val="none"/>
          <w:lang w:eastAsia="zh-CN"/>
        </w:rPr>
        <w:t>，</w:t>
      </w:r>
      <w:r>
        <w:rPr>
          <w:rFonts w:hint="eastAsia" w:ascii="仿宋_GB2312" w:hAnsi="仿宋_GB2312" w:eastAsia="仿宋_GB2312" w:cs="仿宋_GB2312"/>
          <w:b w:val="0"/>
          <w:bCs w:val="0"/>
          <w:color w:val="000000"/>
          <w:sz w:val="28"/>
          <w:szCs w:val="28"/>
          <w:highlight w:val="none"/>
          <w:lang w:val="en-US" w:eastAsia="zh-CN"/>
        </w:rPr>
        <w:t>同时提供维修试验报告</w:t>
      </w:r>
      <w:r>
        <w:rPr>
          <w:rFonts w:hint="eastAsia" w:ascii="仿宋_GB2312" w:hAnsi="仿宋_GB2312" w:eastAsia="仿宋_GB2312" w:cs="仿宋_GB2312"/>
          <w:b w:val="0"/>
          <w:bCs w:val="0"/>
          <w:color w:val="000000"/>
          <w:sz w:val="28"/>
          <w:szCs w:val="28"/>
          <w:highlight w:val="none"/>
          <w:lang w:eastAsia="zh-CN"/>
        </w:rPr>
        <w:t>。</w:t>
      </w:r>
    </w:p>
    <w:p w14:paraId="3D138EDF">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sz w:val="28"/>
          <w:szCs w:val="28"/>
          <w:highlight w:val="none"/>
          <w:lang w:eastAsia="zh-CN"/>
        </w:rPr>
      </w:pPr>
      <w:r>
        <w:rPr>
          <w:rFonts w:hint="eastAsia" w:ascii="仿宋_GB2312" w:hAnsi="仿宋_GB2312" w:eastAsia="仿宋_GB2312" w:cs="仿宋_GB2312"/>
          <w:b w:val="0"/>
          <w:bCs w:val="0"/>
          <w:color w:val="000000"/>
          <w:sz w:val="28"/>
          <w:szCs w:val="28"/>
          <w:highlight w:val="none"/>
        </w:rPr>
        <w:t>3、电机维修应在5日内完成，如遇</w:t>
      </w:r>
      <w:r>
        <w:rPr>
          <w:rFonts w:hint="eastAsia" w:ascii="仿宋_GB2312" w:hAnsi="仿宋_GB2312" w:eastAsia="仿宋_GB2312" w:cs="仿宋_GB2312"/>
          <w:b w:val="0"/>
          <w:bCs w:val="0"/>
          <w:color w:val="000000"/>
          <w:sz w:val="28"/>
          <w:szCs w:val="28"/>
          <w:highlight w:val="none"/>
          <w:lang w:eastAsia="zh-CN"/>
        </w:rPr>
        <w:t>招标人</w:t>
      </w:r>
      <w:r>
        <w:rPr>
          <w:rFonts w:hint="eastAsia" w:ascii="仿宋_GB2312" w:hAnsi="仿宋_GB2312" w:eastAsia="仿宋_GB2312" w:cs="仿宋_GB2312"/>
          <w:b w:val="0"/>
          <w:bCs w:val="0"/>
          <w:color w:val="000000"/>
          <w:sz w:val="28"/>
          <w:szCs w:val="28"/>
          <w:highlight w:val="none"/>
        </w:rPr>
        <w:t>紧急抢修时，应保证24小时不间断维修，尽早完成维修工作</w:t>
      </w:r>
      <w:r>
        <w:rPr>
          <w:rFonts w:hint="eastAsia" w:ascii="仿宋_GB2312" w:hAnsi="仿宋_GB2312" w:eastAsia="仿宋_GB2312" w:cs="仿宋_GB2312"/>
          <w:b w:val="0"/>
          <w:bCs w:val="0"/>
          <w:color w:val="000000"/>
          <w:sz w:val="28"/>
          <w:szCs w:val="28"/>
          <w:highlight w:val="none"/>
          <w:lang w:eastAsia="zh-CN"/>
        </w:rPr>
        <w:t>。</w:t>
      </w:r>
    </w:p>
    <w:p w14:paraId="73089B21">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b w:val="0"/>
          <w:bCs w:val="0"/>
          <w:color w:val="000000"/>
          <w:sz w:val="28"/>
          <w:szCs w:val="28"/>
          <w:highlight w:val="none"/>
        </w:rPr>
        <w:t>4、在更换定子线圈时，线圈应为铜质线圈，材料满足国家技术标准，</w:t>
      </w:r>
      <w:r>
        <w:rPr>
          <w:rFonts w:hint="eastAsia"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rPr>
        <w:t>对线圈的匝间、相间、对地绝缘试验必须按电机线圈所要求的国家行业标准等级进行试验，以确保线圈下线后的质量要求，不得随意更改原装线圈线径的尺寸，电机所用的材料应属国家正品生产厂出品的合格产品；</w:t>
      </w:r>
      <w:r>
        <w:rPr>
          <w:rFonts w:hint="eastAsia" w:ascii="仿宋_GB2312" w:hAnsi="仿宋_GB2312" w:eastAsia="仿宋_GB2312" w:cs="仿宋_GB2312"/>
          <w:b w:val="0"/>
          <w:bCs w:val="0"/>
          <w:color w:val="000000"/>
          <w:sz w:val="28"/>
          <w:szCs w:val="28"/>
          <w:highlight w:val="none"/>
          <w:lang w:val="zh-CN"/>
        </w:rPr>
        <w:t>轴承选用斯凯孚品牌轴承。</w:t>
      </w:r>
    </w:p>
    <w:p w14:paraId="2CDBC0C0">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sz w:val="28"/>
          <w:szCs w:val="28"/>
          <w:highlight w:val="none"/>
          <w:lang w:eastAsia="zh-CN"/>
        </w:rPr>
      </w:pPr>
      <w:r>
        <w:rPr>
          <w:rFonts w:hint="eastAsia" w:ascii="仿宋_GB2312" w:hAnsi="仿宋_GB2312" w:eastAsia="仿宋_GB2312" w:cs="仿宋_GB2312"/>
          <w:b w:val="0"/>
          <w:bCs w:val="0"/>
          <w:color w:val="000000"/>
          <w:sz w:val="28"/>
          <w:szCs w:val="28"/>
          <w:highlight w:val="none"/>
        </w:rPr>
        <w:t>5、潜水泵电机的检修包括电机的检修、更换防护等级IP68及以上的密封（密封性必须达到原厂家出厂要求）。考虑到外接电缆时的密封防水要求，潜水泵电机在修理时，必须包括将电机引线用足够功率的引线引出电缆</w:t>
      </w:r>
      <w:r>
        <w:rPr>
          <w:rFonts w:hint="eastAsia" w:ascii="仿宋_GB2312" w:hAnsi="仿宋_GB2312" w:eastAsia="仿宋_GB2312" w:cs="仿宋_GB2312"/>
          <w:b w:val="0"/>
          <w:bCs w:val="0"/>
          <w:color w:val="000000"/>
          <w:sz w:val="28"/>
          <w:szCs w:val="28"/>
          <w:highlight w:val="none"/>
          <w:lang w:eastAsia="zh-CN"/>
        </w:rPr>
        <w:t>，</w:t>
      </w:r>
      <w:r>
        <w:rPr>
          <w:rFonts w:hint="eastAsia" w:ascii="仿宋_GB2312" w:hAnsi="仿宋_GB2312" w:eastAsia="仿宋_GB2312" w:cs="仿宋_GB2312"/>
          <w:b w:val="0"/>
          <w:bCs w:val="0"/>
          <w:color w:val="000000"/>
          <w:sz w:val="28"/>
          <w:szCs w:val="28"/>
          <w:highlight w:val="none"/>
          <w:lang w:val="en-US" w:eastAsia="zh-CN"/>
        </w:rPr>
        <w:t>长度不低于设备自身长度的2倍</w:t>
      </w:r>
      <w:r>
        <w:rPr>
          <w:rFonts w:hint="eastAsia" w:ascii="仿宋_GB2312" w:hAnsi="仿宋_GB2312" w:eastAsia="仿宋_GB2312" w:cs="仿宋_GB2312"/>
          <w:b w:val="0"/>
          <w:bCs w:val="0"/>
          <w:color w:val="000000"/>
          <w:sz w:val="28"/>
          <w:szCs w:val="28"/>
          <w:highlight w:val="none"/>
          <w:lang w:eastAsia="zh-CN"/>
        </w:rPr>
        <w:t>。</w:t>
      </w:r>
    </w:p>
    <w:p w14:paraId="406E6F74">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sz w:val="28"/>
          <w:szCs w:val="28"/>
          <w:highlight w:val="none"/>
          <w:lang w:eastAsia="zh-CN"/>
        </w:rPr>
      </w:pPr>
      <w:r>
        <w:rPr>
          <w:rFonts w:hint="eastAsia" w:ascii="仿宋_GB2312" w:hAnsi="仿宋_GB2312" w:eastAsia="仿宋_GB2312" w:cs="仿宋_GB2312"/>
          <w:b w:val="0"/>
          <w:bCs w:val="0"/>
          <w:color w:val="000000"/>
          <w:sz w:val="28"/>
          <w:szCs w:val="28"/>
          <w:highlight w:val="none"/>
        </w:rPr>
        <w:t>6、电机、潜水泵修理后，设备外壳必须清理如新</w:t>
      </w:r>
      <w:r>
        <w:rPr>
          <w:rFonts w:hint="eastAsia" w:ascii="仿宋_GB2312" w:hAnsi="仿宋_GB2312" w:eastAsia="仿宋_GB2312" w:cs="仿宋_GB2312"/>
          <w:b w:val="0"/>
          <w:bCs w:val="0"/>
          <w:color w:val="000000"/>
          <w:sz w:val="28"/>
          <w:szCs w:val="28"/>
          <w:highlight w:val="none"/>
          <w:lang w:val="en-US" w:eastAsia="zh-CN"/>
        </w:rPr>
        <w:t>或重新喷漆</w:t>
      </w:r>
      <w:r>
        <w:rPr>
          <w:rFonts w:hint="eastAsia" w:ascii="仿宋_GB2312" w:hAnsi="仿宋_GB2312" w:eastAsia="仿宋_GB2312" w:cs="仿宋_GB2312"/>
          <w:b w:val="0"/>
          <w:bCs w:val="0"/>
          <w:color w:val="000000"/>
          <w:sz w:val="28"/>
          <w:szCs w:val="28"/>
          <w:highlight w:val="none"/>
          <w:lang w:eastAsia="zh-CN"/>
        </w:rPr>
        <w:t>。</w:t>
      </w:r>
    </w:p>
    <w:p w14:paraId="22750E19">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sz w:val="28"/>
          <w:szCs w:val="28"/>
          <w:highlight w:val="none"/>
          <w:lang w:eastAsia="zh-CN"/>
        </w:rPr>
      </w:pPr>
      <w:r>
        <w:rPr>
          <w:rFonts w:hint="eastAsia" w:ascii="仿宋_GB2312" w:hAnsi="仿宋_GB2312" w:eastAsia="仿宋_GB2312" w:cs="仿宋_GB2312"/>
          <w:b w:val="0"/>
          <w:bCs w:val="0"/>
          <w:color w:val="000000"/>
          <w:sz w:val="28"/>
          <w:szCs w:val="28"/>
          <w:highlight w:val="none"/>
          <w:lang w:val="en-US" w:eastAsia="zh-CN"/>
        </w:rPr>
        <w:t>7</w:t>
      </w:r>
      <w:r>
        <w:rPr>
          <w:rFonts w:hint="eastAsia" w:ascii="仿宋_GB2312" w:hAnsi="仿宋_GB2312" w:eastAsia="仿宋_GB2312" w:cs="仿宋_GB2312"/>
          <w:b w:val="0"/>
          <w:bCs w:val="0"/>
          <w:color w:val="000000"/>
          <w:sz w:val="28"/>
          <w:szCs w:val="28"/>
          <w:highlight w:val="none"/>
        </w:rPr>
        <w:t>、电机维修后绝缘等级及防护等级应同原铭牌保持一致，经过静态试验测试合格，电机温升符合国家标准，空载电流不大于厂家出厂技术标准</w:t>
      </w:r>
      <w:r>
        <w:rPr>
          <w:rFonts w:hint="eastAsia" w:ascii="仿宋_GB2312" w:hAnsi="仿宋_GB2312" w:eastAsia="仿宋_GB2312" w:cs="仿宋_GB2312"/>
          <w:b w:val="0"/>
          <w:bCs w:val="0"/>
          <w:color w:val="000000"/>
          <w:sz w:val="28"/>
          <w:szCs w:val="28"/>
          <w:highlight w:val="none"/>
          <w:lang w:eastAsia="zh-CN"/>
        </w:rPr>
        <w:t>，</w:t>
      </w:r>
      <w:r>
        <w:rPr>
          <w:rFonts w:hint="eastAsia" w:ascii="仿宋_GB2312" w:hAnsi="仿宋_GB2312" w:eastAsia="仿宋_GB2312" w:cs="仿宋_GB2312"/>
          <w:b w:val="0"/>
          <w:bCs w:val="0"/>
          <w:color w:val="000000"/>
          <w:sz w:val="28"/>
          <w:szCs w:val="28"/>
          <w:highlight w:val="none"/>
          <w:lang w:val="en-US" w:eastAsia="zh-CN"/>
        </w:rPr>
        <w:t>并提供试验检测报告</w:t>
      </w:r>
      <w:r>
        <w:rPr>
          <w:rFonts w:hint="eastAsia" w:ascii="仿宋_GB2312" w:hAnsi="仿宋_GB2312" w:eastAsia="仿宋_GB2312" w:cs="仿宋_GB2312"/>
          <w:b w:val="0"/>
          <w:bCs w:val="0"/>
          <w:color w:val="000000"/>
          <w:sz w:val="28"/>
          <w:szCs w:val="28"/>
          <w:highlight w:val="none"/>
          <w:lang w:eastAsia="zh-CN"/>
        </w:rPr>
        <w:t>。</w:t>
      </w:r>
    </w:p>
    <w:p w14:paraId="7D1A09FC">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b w:val="0"/>
          <w:bCs w:val="0"/>
          <w:color w:val="000000"/>
          <w:sz w:val="28"/>
          <w:szCs w:val="28"/>
          <w:highlight w:val="none"/>
          <w:lang w:val="en-US" w:eastAsia="zh-CN"/>
        </w:rPr>
        <w:t>8</w:t>
      </w:r>
      <w:r>
        <w:rPr>
          <w:rFonts w:hint="eastAsia" w:ascii="仿宋_GB2312" w:hAnsi="仿宋_GB2312" w:eastAsia="仿宋_GB2312" w:cs="仿宋_GB2312"/>
          <w:b w:val="0"/>
          <w:bCs w:val="0"/>
          <w:color w:val="000000"/>
          <w:sz w:val="28"/>
          <w:szCs w:val="28"/>
          <w:highlight w:val="none"/>
        </w:rPr>
        <w:t>、2</w:t>
      </w:r>
      <w:r>
        <w:rPr>
          <w:rFonts w:hint="eastAsia" w:ascii="仿宋_GB2312" w:hAnsi="仿宋_GB2312" w:eastAsia="仿宋_GB2312" w:cs="仿宋_GB2312"/>
          <w:b w:val="0"/>
          <w:bCs w:val="0"/>
          <w:color w:val="000000"/>
          <w:sz w:val="28"/>
          <w:szCs w:val="28"/>
          <w:highlight w:val="none"/>
          <w:lang w:val="en-US" w:eastAsia="zh-CN"/>
        </w:rPr>
        <w:t>2</w:t>
      </w:r>
      <w:r>
        <w:rPr>
          <w:rFonts w:hint="eastAsia" w:ascii="仿宋_GB2312" w:hAnsi="仿宋_GB2312" w:eastAsia="仿宋_GB2312" w:cs="仿宋_GB2312"/>
          <w:b w:val="0"/>
          <w:bCs w:val="0"/>
          <w:color w:val="000000"/>
          <w:sz w:val="28"/>
          <w:szCs w:val="28"/>
          <w:highlight w:val="none"/>
        </w:rPr>
        <w:t>kW及以上电机质保期为九个月，2</w:t>
      </w:r>
      <w:r>
        <w:rPr>
          <w:rFonts w:hint="eastAsia" w:ascii="仿宋_GB2312" w:hAnsi="仿宋_GB2312" w:eastAsia="仿宋_GB2312" w:cs="仿宋_GB2312"/>
          <w:b w:val="0"/>
          <w:bCs w:val="0"/>
          <w:color w:val="000000"/>
          <w:sz w:val="28"/>
          <w:szCs w:val="28"/>
          <w:highlight w:val="none"/>
          <w:lang w:val="en-US" w:eastAsia="zh-CN"/>
        </w:rPr>
        <w:t>2</w:t>
      </w:r>
      <w:r>
        <w:rPr>
          <w:rFonts w:hint="eastAsia" w:ascii="仿宋_GB2312" w:hAnsi="仿宋_GB2312" w:eastAsia="仿宋_GB2312" w:cs="仿宋_GB2312"/>
          <w:b w:val="0"/>
          <w:bCs w:val="0"/>
          <w:color w:val="000000"/>
          <w:sz w:val="28"/>
          <w:szCs w:val="28"/>
          <w:highlight w:val="none"/>
        </w:rPr>
        <w:t>kW以下电机质保期为六个月，在质保期内发生由于检修质量问题造成电机损坏的，由</w:t>
      </w:r>
      <w:r>
        <w:rPr>
          <w:rFonts w:hint="eastAsia"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rPr>
        <w:t>负责免费重新修理。</w:t>
      </w:r>
    </w:p>
    <w:p w14:paraId="05C69751">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9、当发现招标人需要维修的电机为国家强制淘汰目录中的产品时，中标人应当提醒招标人并不予修理。</w:t>
      </w:r>
    </w:p>
    <w:p w14:paraId="2B0571E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br w:type="page"/>
      </w:r>
    </w:p>
    <w:p w14:paraId="64F6E16D">
      <w:pPr>
        <w:shd w:val="clear"/>
        <w:rPr>
          <w:rFonts w:hint="eastAsia"/>
          <w:color w:val="000000"/>
          <w:kern w:val="0"/>
          <w:szCs w:val="21"/>
          <w:highlight w:val="none"/>
        </w:rPr>
      </w:pPr>
    </w:p>
    <w:p w14:paraId="2A8BECD8">
      <w:pPr>
        <w:pStyle w:val="57"/>
        <w:widowControl/>
        <w:shd w:val="clear"/>
        <w:spacing w:beforeLines="0" w:line="300" w:lineRule="auto"/>
        <w:ind w:left="1233" w:leftChars="514" w:firstLine="660" w:firstLineChars="150"/>
        <w:jc w:val="both"/>
        <w:rPr>
          <w:color w:val="000000"/>
          <w:highlight w:val="none"/>
        </w:rPr>
      </w:pPr>
      <w:bookmarkStart w:id="214" w:name="_Toc31044_WPSOffice_Level1"/>
      <w:bookmarkStart w:id="215" w:name="_Toc5347"/>
      <w:r>
        <w:rPr>
          <w:rFonts w:hint="eastAsia"/>
          <w:color w:val="000000"/>
          <w:kern w:val="0"/>
          <w:szCs w:val="21"/>
          <w:highlight w:val="none"/>
        </w:rPr>
        <w:t>第</w:t>
      </w:r>
      <w:r>
        <w:rPr>
          <w:rFonts w:hint="eastAsia"/>
          <w:color w:val="000000"/>
          <w:kern w:val="0"/>
          <w:szCs w:val="21"/>
          <w:highlight w:val="none"/>
          <w:lang w:val="en-US" w:eastAsia="zh-CN"/>
        </w:rPr>
        <w:t>五</w:t>
      </w:r>
      <w:r>
        <w:rPr>
          <w:rFonts w:hint="eastAsia"/>
          <w:color w:val="000000"/>
          <w:kern w:val="0"/>
          <w:szCs w:val="21"/>
          <w:highlight w:val="none"/>
        </w:rPr>
        <w:t>章</w:t>
      </w:r>
      <w:r>
        <w:rPr>
          <w:color w:val="000000"/>
          <w:highlight w:val="none"/>
        </w:rPr>
        <w:t xml:space="preserve">  </w:t>
      </w:r>
      <w:r>
        <w:rPr>
          <w:rFonts w:hint="eastAsia"/>
          <w:color w:val="000000"/>
          <w:highlight w:val="none"/>
        </w:rPr>
        <w:t>合同条款及格式</w:t>
      </w:r>
      <w:bookmarkEnd w:id="214"/>
      <w:bookmarkEnd w:id="215"/>
    </w:p>
    <w:p w14:paraId="6E628E9E">
      <w:pPr>
        <w:shd w:val="clear"/>
        <w:spacing w:line="300" w:lineRule="auto"/>
        <w:rPr>
          <w:rFonts w:ascii="Times New Roman" w:hAnsi="Times New Roman" w:eastAsia="仿宋_GB2312"/>
          <w:color w:val="000000"/>
          <w:highlight w:val="none"/>
        </w:rPr>
      </w:pPr>
      <w:r>
        <w:rPr>
          <w:rFonts w:ascii="Times New Roman" w:hAnsi="Times New Roman" w:eastAsia="仿宋_GB2312"/>
          <w:color w:val="000000"/>
          <w:highlight w:val="none"/>
        </w:rPr>
        <w:tab/>
      </w:r>
    </w:p>
    <w:p w14:paraId="4439F0F4">
      <w:pPr>
        <w:shd w:val="clear"/>
        <w:tabs>
          <w:tab w:val="left" w:pos="1176"/>
        </w:tabs>
        <w:spacing w:line="360" w:lineRule="auto"/>
        <w:jc w:val="both"/>
        <w:rPr>
          <w:rFonts w:cs="仿宋"/>
          <w:sz w:val="44"/>
          <w:szCs w:val="44"/>
          <w:highlight w:val="none"/>
        </w:rPr>
      </w:pPr>
    </w:p>
    <w:p w14:paraId="1EA400DD">
      <w:pPr>
        <w:widowControl/>
        <w:shd w:val="clear"/>
        <w:tabs>
          <w:tab w:val="left" w:pos="0"/>
          <w:tab w:val="center" w:pos="4500"/>
        </w:tabs>
        <w:spacing w:line="720" w:lineRule="auto"/>
        <w:jc w:val="left"/>
        <w:outlineLvl w:val="9"/>
        <w:rPr>
          <w:rFonts w:hint="eastAsia" w:ascii="仿宋_GB2312" w:hAnsi="仿宋_GB2312" w:eastAsia="仿宋_GB2312" w:cs="仿宋_GB2312"/>
          <w:b/>
          <w:spacing w:val="20"/>
          <w:sz w:val="28"/>
          <w:szCs w:val="28"/>
          <w:highlight w:val="none"/>
        </w:rPr>
      </w:pPr>
      <w:bookmarkStart w:id="216" w:name="_Toc508871745"/>
      <w:r>
        <w:rPr>
          <w:rFonts w:hint="eastAsia" w:ascii="仿宋_GB2312" w:hAnsi="仿宋_GB2312" w:eastAsia="仿宋_GB2312" w:cs="仿宋_GB2312"/>
          <w:b/>
          <w:spacing w:val="20"/>
          <w:sz w:val="28"/>
          <w:szCs w:val="28"/>
          <w:highlight w:val="none"/>
        </w:rPr>
        <w:t>合同编号：</w:t>
      </w:r>
    </w:p>
    <w:p w14:paraId="77E5E771">
      <w:pPr>
        <w:widowControl/>
        <w:shd w:val="clear"/>
        <w:tabs>
          <w:tab w:val="left" w:pos="0"/>
        </w:tabs>
        <w:spacing w:line="720" w:lineRule="auto"/>
        <w:jc w:val="left"/>
        <w:outlineLvl w:val="9"/>
        <w:rPr>
          <w:rFonts w:hint="eastAsia" w:ascii="仿宋_GB2312" w:hAnsi="仿宋_GB2312" w:eastAsia="仿宋_GB2312" w:cs="仿宋_GB2312"/>
          <w:b/>
          <w:spacing w:val="20"/>
          <w:sz w:val="44"/>
          <w:highlight w:val="none"/>
        </w:rPr>
      </w:pPr>
    </w:p>
    <w:p w14:paraId="0187DC85">
      <w:pPr>
        <w:shd w:val="clear"/>
        <w:jc w:val="center"/>
        <w:rPr>
          <w:rFonts w:hint="eastAsia" w:ascii="仿宋_GB2312" w:hAnsi="仿宋_GB2312" w:eastAsia="仿宋_GB2312" w:cs="仿宋_GB2312"/>
          <w:b/>
          <w:bCs/>
          <w:sz w:val="48"/>
          <w:highlight w:val="none"/>
        </w:rPr>
      </w:pPr>
      <w:r>
        <w:rPr>
          <w:rFonts w:hint="eastAsia" w:ascii="仿宋_GB2312" w:hAnsi="仿宋_GB2312" w:eastAsia="仿宋_GB2312" w:cs="仿宋_GB2312"/>
          <w:b/>
          <w:bCs/>
          <w:spacing w:val="20"/>
          <w:sz w:val="44"/>
          <w:szCs w:val="44"/>
          <w:highlight w:val="none"/>
        </w:rPr>
        <w:t>山东济钢环保新材料有限公司</w:t>
      </w:r>
    </w:p>
    <w:p w14:paraId="099134AB">
      <w:pPr>
        <w:shd w:val="clear"/>
        <w:jc w:val="center"/>
        <w:rPr>
          <w:rFonts w:hint="eastAsia" w:ascii="仿宋_GB2312" w:hAnsi="仿宋_GB2312" w:eastAsia="仿宋_GB2312" w:cs="仿宋_GB2312"/>
          <w:b/>
          <w:bCs/>
          <w:sz w:val="48"/>
          <w:highlight w:val="none"/>
        </w:rPr>
      </w:pPr>
    </w:p>
    <w:p w14:paraId="234B0CB9">
      <w:pPr>
        <w:shd w:val="clear"/>
        <w:adjustRightInd w:val="0"/>
        <w:snapToGrid w:val="0"/>
        <w:spacing w:line="360" w:lineRule="auto"/>
        <w:jc w:val="center"/>
        <w:rPr>
          <w:rFonts w:hint="eastAsia" w:ascii="仿宋_GB2312" w:hAnsi="仿宋_GB2312" w:eastAsia="仿宋_GB2312" w:cs="仿宋_GB2312"/>
          <w:b/>
          <w:bCs/>
          <w:sz w:val="48"/>
          <w:highlight w:val="none"/>
        </w:rPr>
      </w:pPr>
      <w:r>
        <w:rPr>
          <w:rFonts w:hint="eastAsia" w:ascii="仿宋_GB2312" w:hAnsi="仿宋_GB2312" w:eastAsia="仿宋_GB2312" w:cs="仿宋_GB2312"/>
          <w:b/>
          <w:bCs/>
          <w:sz w:val="48"/>
          <w:highlight w:val="none"/>
          <w:lang w:val="en-US" w:eastAsia="zh-CN"/>
        </w:rPr>
        <w:t>*****</w:t>
      </w:r>
      <w:r>
        <w:rPr>
          <w:rFonts w:hint="eastAsia" w:ascii="仿宋_GB2312" w:hAnsi="仿宋_GB2312" w:eastAsia="仿宋_GB2312" w:cs="仿宋_GB2312"/>
          <w:b/>
          <w:bCs/>
          <w:sz w:val="48"/>
          <w:highlight w:val="none"/>
        </w:rPr>
        <w:t>低压电机及水泵维修保养承包合同</w:t>
      </w:r>
    </w:p>
    <w:p w14:paraId="07EFB7B5">
      <w:pPr>
        <w:shd w:val="clear"/>
        <w:adjustRightInd w:val="0"/>
        <w:snapToGrid w:val="0"/>
        <w:spacing w:line="360" w:lineRule="auto"/>
        <w:jc w:val="center"/>
        <w:rPr>
          <w:rFonts w:hint="eastAsia" w:ascii="仿宋_GB2312" w:hAnsi="仿宋_GB2312" w:eastAsia="仿宋_GB2312" w:cs="仿宋_GB2312"/>
          <w:b/>
          <w:bCs/>
          <w:sz w:val="48"/>
          <w:highlight w:val="none"/>
        </w:rPr>
      </w:pPr>
    </w:p>
    <w:p w14:paraId="3BF9F823">
      <w:pPr>
        <w:shd w:val="clear"/>
        <w:jc w:val="left"/>
        <w:rPr>
          <w:rFonts w:hint="eastAsia" w:ascii="仿宋_GB2312" w:hAnsi="仿宋_GB2312" w:eastAsia="仿宋_GB2312" w:cs="仿宋_GB2312"/>
          <w:b/>
          <w:sz w:val="36"/>
          <w:highlight w:val="none"/>
        </w:rPr>
      </w:pPr>
    </w:p>
    <w:p w14:paraId="740D0C53">
      <w:pPr>
        <w:shd w:val="clear"/>
        <w:jc w:val="left"/>
        <w:rPr>
          <w:rFonts w:hint="eastAsia" w:ascii="仿宋_GB2312" w:hAnsi="仿宋_GB2312" w:eastAsia="仿宋_GB2312" w:cs="仿宋_GB2312"/>
          <w:b/>
          <w:sz w:val="36"/>
          <w:highlight w:val="none"/>
        </w:rPr>
      </w:pPr>
    </w:p>
    <w:p w14:paraId="3A0E0AE7">
      <w:pPr>
        <w:shd w:val="clear"/>
        <w:jc w:val="left"/>
        <w:rPr>
          <w:rFonts w:hint="eastAsia" w:ascii="仿宋_GB2312" w:hAnsi="仿宋_GB2312" w:eastAsia="仿宋_GB2312" w:cs="仿宋_GB2312"/>
          <w:b/>
          <w:sz w:val="36"/>
          <w:highlight w:val="none"/>
        </w:rPr>
      </w:pPr>
    </w:p>
    <w:p w14:paraId="379CD7F9">
      <w:pPr>
        <w:shd w:val="clear"/>
        <w:jc w:val="left"/>
        <w:rPr>
          <w:rFonts w:hint="eastAsia" w:ascii="仿宋_GB2312" w:hAnsi="仿宋_GB2312" w:eastAsia="仿宋_GB2312" w:cs="仿宋_GB2312"/>
          <w:b/>
          <w:sz w:val="36"/>
          <w:highlight w:val="none"/>
        </w:rPr>
      </w:pPr>
    </w:p>
    <w:p w14:paraId="4C284CB5">
      <w:pPr>
        <w:shd w:val="clear"/>
        <w:jc w:val="left"/>
        <w:rPr>
          <w:rFonts w:hint="eastAsia" w:ascii="仿宋_GB2312" w:hAnsi="仿宋_GB2312" w:eastAsia="仿宋_GB2312" w:cs="仿宋_GB2312"/>
          <w:b/>
          <w:sz w:val="36"/>
          <w:highlight w:val="none"/>
        </w:rPr>
      </w:pPr>
    </w:p>
    <w:p w14:paraId="39308997">
      <w:pPr>
        <w:shd w:val="clear"/>
        <w:jc w:val="left"/>
        <w:rPr>
          <w:rFonts w:hint="eastAsia" w:ascii="仿宋_GB2312" w:hAnsi="仿宋_GB2312" w:eastAsia="仿宋_GB2312" w:cs="仿宋_GB2312"/>
          <w:b/>
          <w:sz w:val="36"/>
          <w:highlight w:val="none"/>
        </w:rPr>
      </w:pPr>
    </w:p>
    <w:tbl>
      <w:tblPr>
        <w:tblStyle w:val="46"/>
        <w:tblW w:w="0" w:type="auto"/>
        <w:jc w:val="center"/>
        <w:tblLayout w:type="fixed"/>
        <w:tblCellMar>
          <w:top w:w="0" w:type="dxa"/>
          <w:left w:w="108" w:type="dxa"/>
          <w:bottom w:w="0" w:type="dxa"/>
          <w:right w:w="108" w:type="dxa"/>
        </w:tblCellMar>
      </w:tblPr>
      <w:tblGrid>
        <w:gridCol w:w="2325"/>
        <w:gridCol w:w="4857"/>
      </w:tblGrid>
      <w:tr w14:paraId="73CF8DC1">
        <w:tblPrEx>
          <w:tblCellMar>
            <w:top w:w="0" w:type="dxa"/>
            <w:left w:w="108" w:type="dxa"/>
            <w:bottom w:w="0" w:type="dxa"/>
            <w:right w:w="108" w:type="dxa"/>
          </w:tblCellMar>
        </w:tblPrEx>
        <w:trPr>
          <w:trHeight w:val="567" w:hRule="exact"/>
          <w:jc w:val="center"/>
        </w:trPr>
        <w:tc>
          <w:tcPr>
            <w:tcW w:w="2325" w:type="dxa"/>
            <w:noWrap w:val="0"/>
            <w:vAlign w:val="top"/>
          </w:tcPr>
          <w:p w14:paraId="566DA908">
            <w:pPr>
              <w:shd w:val="clear"/>
              <w:spacing w:line="48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甲 方：</w:t>
            </w:r>
          </w:p>
        </w:tc>
        <w:tc>
          <w:tcPr>
            <w:tcW w:w="4857" w:type="dxa"/>
            <w:noWrap w:val="0"/>
            <w:vAlign w:val="top"/>
          </w:tcPr>
          <w:p w14:paraId="211A8E0C">
            <w:pPr>
              <w:shd w:val="clear"/>
              <w:spacing w:line="48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山东济钢环保新材料有限公司</w:t>
            </w:r>
          </w:p>
        </w:tc>
      </w:tr>
      <w:tr w14:paraId="17B01B83">
        <w:tblPrEx>
          <w:tblCellMar>
            <w:top w:w="0" w:type="dxa"/>
            <w:left w:w="108" w:type="dxa"/>
            <w:bottom w:w="0" w:type="dxa"/>
            <w:right w:w="108" w:type="dxa"/>
          </w:tblCellMar>
        </w:tblPrEx>
        <w:trPr>
          <w:trHeight w:val="567" w:hRule="exact"/>
          <w:jc w:val="center"/>
        </w:trPr>
        <w:tc>
          <w:tcPr>
            <w:tcW w:w="2325" w:type="dxa"/>
            <w:noWrap w:val="0"/>
            <w:vAlign w:val="top"/>
          </w:tcPr>
          <w:p w14:paraId="3999DAC9">
            <w:pPr>
              <w:shd w:val="clear"/>
              <w:spacing w:line="48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乙 方：</w:t>
            </w:r>
          </w:p>
        </w:tc>
        <w:tc>
          <w:tcPr>
            <w:tcW w:w="4857" w:type="dxa"/>
            <w:noWrap w:val="0"/>
            <w:vAlign w:val="top"/>
          </w:tcPr>
          <w:p w14:paraId="13BF792F">
            <w:pPr>
              <w:shd w:val="clear"/>
              <w:spacing w:line="480" w:lineRule="auto"/>
              <w:rPr>
                <w:rFonts w:hint="eastAsia" w:ascii="仿宋_GB2312" w:hAnsi="仿宋_GB2312" w:eastAsia="仿宋_GB2312" w:cs="仿宋_GB2312"/>
                <w:b/>
                <w:sz w:val="28"/>
                <w:szCs w:val="28"/>
                <w:highlight w:val="none"/>
              </w:rPr>
            </w:pPr>
          </w:p>
        </w:tc>
      </w:tr>
    </w:tbl>
    <w:p w14:paraId="73106416">
      <w:pPr>
        <w:shd w:val="clear"/>
        <w:spacing w:line="480" w:lineRule="auto"/>
        <w:ind w:firstLine="963" w:firstLineChars="344"/>
        <w:jc w:val="lef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签订地点：       济南市章丘区</w:t>
      </w:r>
    </w:p>
    <w:p w14:paraId="5944F254">
      <w:pPr>
        <w:shd w:val="clear"/>
        <w:spacing w:line="480" w:lineRule="auto"/>
        <w:jc w:val="center"/>
        <w:rPr>
          <w:rFonts w:hint="eastAsia" w:ascii="仿宋_GB2312" w:hAnsi="仿宋_GB2312" w:eastAsia="仿宋_GB2312" w:cs="仿宋_GB2312"/>
          <w:b/>
          <w:sz w:val="28"/>
          <w:szCs w:val="28"/>
          <w:highlight w:val="none"/>
        </w:rPr>
        <w:sectPr>
          <w:footerReference r:id="rId5" w:type="default"/>
          <w:pgSz w:w="11906" w:h="16838"/>
          <w:pgMar w:top="1440" w:right="1466" w:bottom="1440" w:left="1440" w:header="851" w:footer="992" w:gutter="0"/>
          <w:pgNumType w:fmt="decimal" w:start="1"/>
          <w:cols w:space="720" w:num="1"/>
          <w:docGrid w:type="linesAndChars" w:linePitch="312" w:charSpace="0"/>
        </w:sectPr>
      </w:pPr>
      <w:r>
        <w:rPr>
          <w:rFonts w:hint="eastAsia" w:ascii="仿宋_GB2312" w:hAnsi="仿宋_GB2312" w:eastAsia="仿宋_GB2312" w:cs="仿宋_GB2312"/>
          <w:b/>
          <w:sz w:val="28"/>
          <w:szCs w:val="28"/>
          <w:highlight w:val="none"/>
        </w:rPr>
        <w:t xml:space="preserve">   年  月  日                </w:t>
      </w:r>
    </w:p>
    <w:p w14:paraId="56968711">
      <w:pPr>
        <w:shd w:val="clear"/>
        <w:jc w:val="center"/>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highlight w:val="none"/>
          <w:u w:val="single"/>
          <w:lang w:val="en-US" w:eastAsia="zh-CN"/>
        </w:rPr>
        <w:t>****</w:t>
      </w:r>
      <w:r>
        <w:rPr>
          <w:rFonts w:hint="eastAsia" w:ascii="仿宋_GB2312" w:hAnsi="仿宋_GB2312" w:eastAsia="仿宋_GB2312" w:cs="仿宋_GB2312"/>
          <w:b/>
          <w:bCs/>
          <w:sz w:val="36"/>
          <w:szCs w:val="36"/>
          <w:highlight w:val="none"/>
        </w:rPr>
        <w:t>低压电机维修保养承包合同</w:t>
      </w:r>
    </w:p>
    <w:p w14:paraId="2DB9E115">
      <w:pPr>
        <w:shd w:val="clear"/>
        <w:spacing w:line="420" w:lineRule="exact"/>
        <w:ind w:firstLine="560" w:firstLineChars="200"/>
        <w:rPr>
          <w:rFonts w:hint="eastAsia" w:ascii="仿宋_GB2312" w:eastAsia="仿宋_GB2312" w:cs="仿宋"/>
          <w:sz w:val="28"/>
          <w:szCs w:val="28"/>
          <w:highlight w:val="none"/>
        </w:rPr>
      </w:pPr>
    </w:p>
    <w:p w14:paraId="6F17B850">
      <w:pPr>
        <w:shd w:val="clear"/>
        <w:spacing w:line="420" w:lineRule="exact"/>
        <w:ind w:firstLine="560" w:firstLineChars="200"/>
        <w:rPr>
          <w:rFonts w:hint="eastAsia" w:ascii="仿宋_GB2312" w:eastAsia="仿宋_GB2312" w:cs="仿宋"/>
          <w:sz w:val="28"/>
          <w:szCs w:val="28"/>
          <w:highlight w:val="none"/>
        </w:rPr>
      </w:pPr>
      <w:r>
        <w:rPr>
          <w:rFonts w:hint="eastAsia" w:ascii="仿宋_GB2312" w:eastAsia="仿宋_GB2312" w:cs="仿宋"/>
          <w:sz w:val="28"/>
          <w:szCs w:val="28"/>
          <w:highlight w:val="none"/>
        </w:rPr>
        <w:t>山东济钢环保新材料有限公司低压电机维修保养项目，经过竞争性谈判，由乙方承包此项目，为确保如期保质保量完成本项目，依据《中华人民共和国民法典》、有关法律法规和规程，结合项目具体情况，为明确各自的义务和责任，经双方协商一致，同意订立本合同如下，以便共同恪守执行。</w:t>
      </w:r>
    </w:p>
    <w:p w14:paraId="464B502A">
      <w:pPr>
        <w:shd w:val="clear"/>
        <w:spacing w:line="400" w:lineRule="exact"/>
        <w:outlineLvl w:val="0"/>
        <w:rPr>
          <w:rFonts w:hint="eastAsia" w:ascii="仿宋_GB2312" w:hAnsi="仿宋_GB2312" w:eastAsia="仿宋_GB2312" w:cs="仿宋_GB2312"/>
          <w:b/>
          <w:bCs/>
          <w:color w:val="000000"/>
          <w:sz w:val="24"/>
          <w:highlight w:val="none"/>
          <w:lang w:eastAsia="zh-CN"/>
        </w:rPr>
      </w:pPr>
      <w:bookmarkStart w:id="217" w:name="_Toc16298"/>
      <w:r>
        <w:rPr>
          <w:rFonts w:hint="eastAsia" w:ascii="仿宋_GB2312" w:hAnsi="仿宋_GB2312" w:eastAsia="仿宋_GB2312" w:cs="仿宋_GB2312"/>
          <w:b/>
          <w:bCs/>
          <w:color w:val="000000"/>
          <w:sz w:val="24"/>
          <w:highlight w:val="none"/>
          <w:lang w:val="en-US" w:eastAsia="zh-CN"/>
        </w:rPr>
        <w:t>一</w:t>
      </w:r>
      <w:r>
        <w:rPr>
          <w:rFonts w:hint="eastAsia" w:ascii="仿宋_GB2312" w:hAnsi="仿宋_GB2312" w:eastAsia="仿宋_GB2312" w:cs="仿宋_GB2312"/>
          <w:b/>
          <w:bCs/>
          <w:color w:val="000000"/>
          <w:sz w:val="24"/>
          <w:highlight w:val="none"/>
        </w:rPr>
        <w:t>、</w:t>
      </w:r>
      <w:r>
        <w:rPr>
          <w:rFonts w:hint="eastAsia" w:ascii="仿宋_GB2312" w:hAnsi="仿宋_GB2312" w:eastAsia="仿宋_GB2312" w:cs="仿宋_GB2312"/>
          <w:b/>
          <w:bCs/>
          <w:color w:val="000000"/>
          <w:sz w:val="24"/>
          <w:highlight w:val="none"/>
          <w:lang w:val="en-US" w:eastAsia="zh-CN"/>
        </w:rPr>
        <w:t>合同范围、</w:t>
      </w:r>
      <w:r>
        <w:rPr>
          <w:rFonts w:hint="eastAsia" w:ascii="仿宋_GB2312" w:hAnsi="仿宋_GB2312" w:eastAsia="仿宋_GB2312" w:cs="仿宋_GB2312"/>
          <w:b/>
          <w:bCs/>
          <w:color w:val="000000"/>
          <w:sz w:val="24"/>
          <w:highlight w:val="none"/>
        </w:rPr>
        <w:t>价格及交付期限</w:t>
      </w:r>
      <w:r>
        <w:rPr>
          <w:rFonts w:hint="eastAsia" w:ascii="仿宋_GB2312" w:hAnsi="仿宋_GB2312" w:eastAsia="仿宋_GB2312" w:cs="仿宋_GB2312"/>
          <w:b/>
          <w:bCs/>
          <w:color w:val="000000"/>
          <w:sz w:val="24"/>
          <w:highlight w:val="none"/>
          <w:lang w:eastAsia="zh-CN"/>
        </w:rPr>
        <w:t>。</w:t>
      </w:r>
      <w:bookmarkEnd w:id="217"/>
    </w:p>
    <w:p w14:paraId="1046A6E9">
      <w:pPr>
        <w:shd w:val="clear"/>
        <w:spacing w:line="400" w:lineRule="exact"/>
        <w:ind w:firstLine="560" w:firstLineChars="200"/>
        <w:rPr>
          <w:rFonts w:hint="eastAsia" w:ascii="仿宋_GB2312" w:hAnsi="仿宋_GB2312" w:eastAsia="仿宋_GB2312" w:cs="仿宋_GB2312"/>
          <w:color w:val="000000"/>
          <w:sz w:val="28"/>
          <w:szCs w:val="28"/>
          <w:highlight w:val="none"/>
        </w:rPr>
      </w:pPr>
      <w:bookmarkStart w:id="218" w:name="_Toc521503304"/>
      <w:bookmarkStart w:id="219" w:name="_Toc507025404"/>
      <w:r>
        <w:rPr>
          <w:rFonts w:hint="eastAsia" w:ascii="仿宋_GB2312" w:hAnsi="仿宋_GB2312" w:eastAsia="仿宋_GB2312" w:cs="仿宋_GB2312"/>
          <w:color w:val="000000"/>
          <w:sz w:val="28"/>
          <w:szCs w:val="28"/>
          <w:highlight w:val="none"/>
        </w:rPr>
        <w:t>1</w:t>
      </w:r>
      <w:bookmarkEnd w:id="218"/>
      <w:bookmarkEnd w:id="219"/>
      <w:r>
        <w:rPr>
          <w:rFonts w:hint="eastAsia" w:ascii="仿宋_GB2312" w:hAnsi="仿宋_GB2312" w:eastAsia="仿宋_GB2312" w:cs="仿宋_GB2312"/>
          <w:color w:val="000000"/>
          <w:sz w:val="28"/>
          <w:szCs w:val="28"/>
          <w:highlight w:val="none"/>
        </w:rPr>
        <w:t>.</w:t>
      </w:r>
      <w:bookmarkStart w:id="220" w:name="_Toc507025405"/>
      <w:bookmarkStart w:id="221" w:name="_Toc521503305"/>
      <w:r>
        <w:rPr>
          <w:rFonts w:hint="eastAsia" w:ascii="仿宋_GB2312" w:hAnsi="仿宋_GB2312" w:eastAsia="仿宋_GB2312" w:cs="仿宋_GB2312"/>
          <w:color w:val="000000"/>
          <w:sz w:val="28"/>
          <w:szCs w:val="28"/>
          <w:highlight w:val="none"/>
          <w:lang w:val="zh-CN"/>
        </w:rPr>
        <w:t>电机</w:t>
      </w:r>
      <w:r>
        <w:rPr>
          <w:rFonts w:hint="eastAsia" w:ascii="仿宋_GB2312" w:hAnsi="仿宋_GB2312" w:eastAsia="仿宋_GB2312" w:cs="仿宋_GB2312"/>
          <w:color w:val="000000"/>
          <w:sz w:val="28"/>
          <w:szCs w:val="28"/>
          <w:highlight w:val="none"/>
        </w:rPr>
        <w:t>及水泵</w:t>
      </w:r>
      <w:r>
        <w:rPr>
          <w:rFonts w:hint="eastAsia" w:ascii="仿宋_GB2312" w:hAnsi="仿宋_GB2312" w:eastAsia="仿宋_GB2312" w:cs="仿宋_GB2312"/>
          <w:color w:val="000000"/>
          <w:sz w:val="28"/>
          <w:szCs w:val="28"/>
          <w:highlight w:val="none"/>
          <w:lang w:val="zh-CN"/>
        </w:rPr>
        <w:t>维修保养</w:t>
      </w:r>
      <w:r>
        <w:rPr>
          <w:rFonts w:hint="eastAsia" w:ascii="仿宋_GB2312" w:hAnsi="仿宋_GB2312" w:eastAsia="仿宋_GB2312" w:cs="仿宋_GB2312"/>
          <w:color w:val="000000"/>
          <w:sz w:val="28"/>
          <w:szCs w:val="28"/>
          <w:highlight w:val="none"/>
        </w:rPr>
        <w:t>内容</w:t>
      </w:r>
    </w:p>
    <w:tbl>
      <w:tblPr>
        <w:tblStyle w:val="46"/>
        <w:tblpPr w:leftFromText="180" w:rightFromText="180" w:vertAnchor="text" w:horzAnchor="page" w:tblpXSpec="center" w:tblpY="299"/>
        <w:tblOverlap w:val="never"/>
        <w:tblW w:w="9775" w:type="dxa"/>
        <w:jc w:val="center"/>
        <w:tblLayout w:type="fixed"/>
        <w:tblCellMar>
          <w:top w:w="0" w:type="dxa"/>
          <w:left w:w="108" w:type="dxa"/>
          <w:bottom w:w="0" w:type="dxa"/>
          <w:right w:w="108" w:type="dxa"/>
        </w:tblCellMar>
      </w:tblPr>
      <w:tblGrid>
        <w:gridCol w:w="793"/>
        <w:gridCol w:w="752"/>
        <w:gridCol w:w="2405"/>
        <w:gridCol w:w="835"/>
        <w:gridCol w:w="974"/>
        <w:gridCol w:w="974"/>
        <w:gridCol w:w="1125"/>
        <w:gridCol w:w="1917"/>
      </w:tblGrid>
      <w:tr w14:paraId="5676C88E">
        <w:tblPrEx>
          <w:tblCellMar>
            <w:top w:w="0" w:type="dxa"/>
            <w:left w:w="108" w:type="dxa"/>
            <w:bottom w:w="0" w:type="dxa"/>
            <w:right w:w="108" w:type="dxa"/>
          </w:tblCellMar>
        </w:tblPrEx>
        <w:trPr>
          <w:trHeight w:val="593" w:hRule="atLeast"/>
          <w:jc w:val="center"/>
        </w:trPr>
        <w:tc>
          <w:tcPr>
            <w:tcW w:w="793" w:type="dxa"/>
            <w:tcBorders>
              <w:top w:val="single" w:color="auto" w:sz="4" w:space="0"/>
              <w:left w:val="single" w:color="auto" w:sz="4" w:space="0"/>
              <w:bottom w:val="single" w:color="auto" w:sz="4" w:space="0"/>
              <w:right w:val="single" w:color="auto" w:sz="4" w:space="0"/>
            </w:tcBorders>
            <w:noWrap/>
            <w:vAlign w:val="center"/>
          </w:tcPr>
          <w:p w14:paraId="13CAD2FA">
            <w:pPr>
              <w:shd w:val="clear"/>
              <w:jc w:val="center"/>
              <w:rPr>
                <w:b/>
                <w:bCs/>
                <w:color w:val="000000"/>
                <w:highlight w:val="none"/>
              </w:rPr>
            </w:pPr>
            <w:r>
              <w:rPr>
                <w:rFonts w:hint="eastAsia"/>
                <w:b/>
                <w:bCs/>
                <w:color w:val="000000"/>
                <w:highlight w:val="none"/>
              </w:rPr>
              <w:t>种类</w:t>
            </w:r>
          </w:p>
        </w:tc>
        <w:tc>
          <w:tcPr>
            <w:tcW w:w="752" w:type="dxa"/>
            <w:tcBorders>
              <w:top w:val="single" w:color="auto" w:sz="4" w:space="0"/>
              <w:left w:val="single" w:color="auto" w:sz="4" w:space="0"/>
              <w:bottom w:val="single" w:color="auto" w:sz="4" w:space="0"/>
              <w:right w:val="single" w:color="auto" w:sz="4" w:space="0"/>
            </w:tcBorders>
            <w:noWrap/>
            <w:vAlign w:val="center"/>
          </w:tcPr>
          <w:p w14:paraId="0D374A80">
            <w:pPr>
              <w:shd w:val="clear"/>
              <w:jc w:val="center"/>
              <w:rPr>
                <w:b/>
                <w:bCs/>
                <w:color w:val="000000"/>
                <w:highlight w:val="none"/>
              </w:rPr>
            </w:pPr>
            <w:r>
              <w:rPr>
                <w:rFonts w:hint="eastAsia"/>
                <w:b/>
                <w:bCs/>
                <w:color w:val="000000"/>
                <w:highlight w:val="none"/>
              </w:rPr>
              <w:t>序号</w:t>
            </w:r>
          </w:p>
        </w:tc>
        <w:tc>
          <w:tcPr>
            <w:tcW w:w="2405" w:type="dxa"/>
            <w:tcBorders>
              <w:top w:val="single" w:color="auto" w:sz="4" w:space="0"/>
              <w:left w:val="nil"/>
              <w:bottom w:val="single" w:color="auto" w:sz="4" w:space="0"/>
              <w:right w:val="single" w:color="auto" w:sz="4" w:space="0"/>
            </w:tcBorders>
            <w:noWrap/>
            <w:vAlign w:val="center"/>
          </w:tcPr>
          <w:p w14:paraId="55D37A86">
            <w:pPr>
              <w:shd w:val="clear"/>
              <w:jc w:val="center"/>
              <w:rPr>
                <w:b/>
                <w:bCs/>
                <w:color w:val="000000"/>
                <w:highlight w:val="none"/>
              </w:rPr>
            </w:pPr>
            <w:r>
              <w:rPr>
                <w:rFonts w:hint="eastAsia"/>
                <w:b/>
                <w:bCs/>
                <w:color w:val="000000"/>
                <w:highlight w:val="none"/>
              </w:rPr>
              <w:t>维修保养项目名称</w:t>
            </w:r>
          </w:p>
        </w:tc>
        <w:tc>
          <w:tcPr>
            <w:tcW w:w="835" w:type="dxa"/>
            <w:tcBorders>
              <w:top w:val="single" w:color="auto" w:sz="4" w:space="0"/>
              <w:left w:val="nil"/>
              <w:bottom w:val="single" w:color="auto" w:sz="4" w:space="0"/>
              <w:right w:val="single" w:color="auto" w:sz="4" w:space="0"/>
            </w:tcBorders>
            <w:noWrap/>
            <w:vAlign w:val="center"/>
          </w:tcPr>
          <w:p w14:paraId="1C912EB5">
            <w:pPr>
              <w:shd w:val="clear"/>
              <w:jc w:val="center"/>
              <w:rPr>
                <w:b/>
                <w:bCs/>
                <w:color w:val="000000"/>
                <w:highlight w:val="none"/>
              </w:rPr>
            </w:pPr>
            <w:r>
              <w:rPr>
                <w:rFonts w:hint="eastAsia"/>
                <w:b/>
                <w:bCs/>
                <w:color w:val="000000"/>
                <w:highlight w:val="none"/>
              </w:rPr>
              <w:t>工程量</w:t>
            </w:r>
          </w:p>
        </w:tc>
        <w:tc>
          <w:tcPr>
            <w:tcW w:w="974" w:type="dxa"/>
            <w:tcBorders>
              <w:top w:val="single" w:color="auto" w:sz="4" w:space="0"/>
              <w:left w:val="nil"/>
              <w:bottom w:val="single" w:color="auto" w:sz="4" w:space="0"/>
              <w:right w:val="single" w:color="auto" w:sz="4" w:space="0"/>
            </w:tcBorders>
            <w:noWrap/>
            <w:vAlign w:val="center"/>
          </w:tcPr>
          <w:p w14:paraId="01B4A69D">
            <w:pPr>
              <w:shd w:val="clear"/>
              <w:jc w:val="center"/>
              <w:rPr>
                <w:b/>
                <w:bCs/>
                <w:color w:val="000000"/>
                <w:highlight w:val="none"/>
              </w:rPr>
            </w:pPr>
            <w:r>
              <w:rPr>
                <w:rFonts w:hint="eastAsia"/>
                <w:b/>
                <w:bCs/>
                <w:color w:val="000000"/>
                <w:highlight w:val="none"/>
              </w:rPr>
              <w:t>单位</w:t>
            </w:r>
          </w:p>
        </w:tc>
        <w:tc>
          <w:tcPr>
            <w:tcW w:w="974" w:type="dxa"/>
            <w:tcBorders>
              <w:top w:val="single" w:color="auto" w:sz="4" w:space="0"/>
              <w:left w:val="nil"/>
              <w:bottom w:val="single" w:color="auto" w:sz="4" w:space="0"/>
              <w:right w:val="single" w:color="auto" w:sz="4" w:space="0"/>
            </w:tcBorders>
            <w:noWrap/>
            <w:vAlign w:val="center"/>
          </w:tcPr>
          <w:p w14:paraId="1BAAA17A">
            <w:pPr>
              <w:shd w:val="clear"/>
              <w:jc w:val="center"/>
              <w:rPr>
                <w:b/>
                <w:bCs/>
                <w:color w:val="000000"/>
                <w:highlight w:val="none"/>
              </w:rPr>
            </w:pPr>
            <w:r>
              <w:rPr>
                <w:rFonts w:hint="eastAsia"/>
                <w:b/>
                <w:bCs/>
                <w:color w:val="000000"/>
                <w:highlight w:val="none"/>
              </w:rPr>
              <w:t>单价</w:t>
            </w:r>
          </w:p>
        </w:tc>
        <w:tc>
          <w:tcPr>
            <w:tcW w:w="1125" w:type="dxa"/>
            <w:tcBorders>
              <w:top w:val="single" w:color="auto" w:sz="4" w:space="0"/>
              <w:left w:val="nil"/>
              <w:bottom w:val="single" w:color="auto" w:sz="4" w:space="0"/>
              <w:right w:val="single" w:color="auto" w:sz="4" w:space="0"/>
            </w:tcBorders>
            <w:noWrap/>
            <w:vAlign w:val="center"/>
          </w:tcPr>
          <w:p w14:paraId="11DECD37">
            <w:pPr>
              <w:shd w:val="clear"/>
              <w:jc w:val="center"/>
              <w:rPr>
                <w:b/>
                <w:bCs/>
                <w:color w:val="000000"/>
                <w:highlight w:val="none"/>
              </w:rPr>
            </w:pPr>
            <w:r>
              <w:rPr>
                <w:rFonts w:hint="eastAsia"/>
                <w:b/>
                <w:bCs/>
                <w:color w:val="000000"/>
                <w:highlight w:val="none"/>
              </w:rPr>
              <w:t>单项合计</w:t>
            </w:r>
          </w:p>
        </w:tc>
        <w:tc>
          <w:tcPr>
            <w:tcW w:w="1917" w:type="dxa"/>
            <w:tcBorders>
              <w:top w:val="single" w:color="auto" w:sz="4" w:space="0"/>
              <w:left w:val="nil"/>
              <w:bottom w:val="single" w:color="auto" w:sz="4" w:space="0"/>
              <w:right w:val="single" w:color="auto" w:sz="4" w:space="0"/>
            </w:tcBorders>
            <w:noWrap/>
            <w:vAlign w:val="center"/>
          </w:tcPr>
          <w:p w14:paraId="5265FE7C">
            <w:pPr>
              <w:shd w:val="clear"/>
              <w:jc w:val="center"/>
              <w:rPr>
                <w:b/>
                <w:bCs/>
                <w:color w:val="000000"/>
                <w:highlight w:val="none"/>
              </w:rPr>
            </w:pPr>
            <w:r>
              <w:rPr>
                <w:rFonts w:hint="eastAsia"/>
                <w:b/>
                <w:bCs/>
                <w:color w:val="000000"/>
                <w:highlight w:val="none"/>
              </w:rPr>
              <w:t>交付期限</w:t>
            </w:r>
          </w:p>
        </w:tc>
      </w:tr>
      <w:tr w14:paraId="0A8DC144">
        <w:tblPrEx>
          <w:tblCellMar>
            <w:top w:w="0" w:type="dxa"/>
            <w:left w:w="108" w:type="dxa"/>
            <w:bottom w:w="0" w:type="dxa"/>
            <w:right w:w="108" w:type="dxa"/>
          </w:tblCellMar>
        </w:tblPrEx>
        <w:trPr>
          <w:trHeight w:val="553" w:hRule="atLeast"/>
          <w:jc w:val="center"/>
        </w:trPr>
        <w:tc>
          <w:tcPr>
            <w:tcW w:w="793" w:type="dxa"/>
            <w:vMerge w:val="restart"/>
            <w:tcBorders>
              <w:top w:val="single" w:color="auto" w:sz="4" w:space="0"/>
              <w:left w:val="single" w:color="auto" w:sz="4" w:space="0"/>
              <w:bottom w:val="single" w:color="auto" w:sz="4" w:space="0"/>
              <w:right w:val="single" w:color="auto" w:sz="4" w:space="0"/>
            </w:tcBorders>
            <w:noWrap/>
            <w:vAlign w:val="center"/>
          </w:tcPr>
          <w:p w14:paraId="40907602">
            <w:pPr>
              <w:shd w:val="clear"/>
              <w:jc w:val="center"/>
              <w:rPr>
                <w:color w:val="000000"/>
                <w:highlight w:val="none"/>
              </w:rPr>
            </w:pPr>
          </w:p>
        </w:tc>
        <w:tc>
          <w:tcPr>
            <w:tcW w:w="752" w:type="dxa"/>
            <w:tcBorders>
              <w:top w:val="nil"/>
              <w:left w:val="single" w:color="auto" w:sz="4" w:space="0"/>
              <w:bottom w:val="single" w:color="auto" w:sz="4" w:space="0"/>
              <w:right w:val="single" w:color="auto" w:sz="4" w:space="0"/>
            </w:tcBorders>
            <w:noWrap/>
            <w:vAlign w:val="center"/>
          </w:tcPr>
          <w:p w14:paraId="6A596EB0">
            <w:pPr>
              <w:shd w:val="clear"/>
              <w:jc w:val="center"/>
              <w:rPr>
                <w:color w:val="000000"/>
                <w:highlight w:val="none"/>
              </w:rPr>
            </w:pPr>
          </w:p>
        </w:tc>
        <w:tc>
          <w:tcPr>
            <w:tcW w:w="2405" w:type="dxa"/>
            <w:tcBorders>
              <w:top w:val="nil"/>
              <w:left w:val="nil"/>
              <w:bottom w:val="single" w:color="auto" w:sz="4" w:space="0"/>
              <w:right w:val="single" w:color="auto" w:sz="4" w:space="0"/>
            </w:tcBorders>
            <w:noWrap/>
            <w:vAlign w:val="center"/>
          </w:tcPr>
          <w:p w14:paraId="7212FC44">
            <w:pPr>
              <w:shd w:val="clear"/>
              <w:jc w:val="center"/>
              <w:rPr>
                <w:highlight w:val="none"/>
              </w:rPr>
            </w:pPr>
          </w:p>
        </w:tc>
        <w:tc>
          <w:tcPr>
            <w:tcW w:w="835" w:type="dxa"/>
            <w:tcBorders>
              <w:top w:val="single" w:color="auto" w:sz="4" w:space="0"/>
              <w:left w:val="single" w:color="auto" w:sz="4" w:space="0"/>
              <w:bottom w:val="single" w:color="auto" w:sz="4" w:space="0"/>
              <w:right w:val="single" w:color="auto" w:sz="4" w:space="0"/>
            </w:tcBorders>
            <w:noWrap/>
            <w:vAlign w:val="center"/>
          </w:tcPr>
          <w:p w14:paraId="492362B0">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35812ED9">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14776116">
            <w:pPr>
              <w:shd w:val="clear"/>
              <w:jc w:val="center"/>
              <w:rPr>
                <w:color w:val="000000"/>
                <w:highlight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14:paraId="54F5DB4C">
            <w:pPr>
              <w:shd w:val="clear"/>
              <w:jc w:val="center"/>
              <w:rPr>
                <w:color w:val="000000"/>
                <w:highlight w:val="none"/>
              </w:rPr>
            </w:pPr>
          </w:p>
        </w:tc>
        <w:tc>
          <w:tcPr>
            <w:tcW w:w="1917" w:type="dxa"/>
            <w:vMerge w:val="restart"/>
            <w:tcBorders>
              <w:top w:val="single" w:color="auto" w:sz="4" w:space="0"/>
              <w:left w:val="single" w:color="auto" w:sz="4" w:space="0"/>
              <w:right w:val="single" w:color="auto" w:sz="4" w:space="0"/>
            </w:tcBorders>
            <w:noWrap/>
            <w:vAlign w:val="center"/>
          </w:tcPr>
          <w:p w14:paraId="15B75F60">
            <w:pPr>
              <w:widowControl/>
              <w:shd w:val="clear"/>
              <w:spacing w:line="442"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出厂维修、保养交付期限：</w:t>
            </w:r>
          </w:p>
          <w:p w14:paraId="49901C95">
            <w:pPr>
              <w:widowControl/>
              <w:shd w:val="clear"/>
              <w:spacing w:line="442"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1.出厂维修：往返时间不大于</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天</w:t>
            </w:r>
          </w:p>
          <w:p w14:paraId="2FF53E90">
            <w:pPr>
              <w:shd w:val="clear"/>
              <w:jc w:val="left"/>
            </w:pPr>
            <w:r>
              <w:rPr>
                <w:rFonts w:hint="eastAsia" w:ascii="宋体" w:hAnsi="宋体" w:eastAsia="宋体" w:cs="宋体"/>
                <w:sz w:val="24"/>
                <w:szCs w:val="24"/>
                <w:highlight w:val="none"/>
              </w:rPr>
              <w:t>2.出厂保养：不大于</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天</w:t>
            </w:r>
          </w:p>
        </w:tc>
      </w:tr>
      <w:tr w14:paraId="1FB2DD5C">
        <w:tblPrEx>
          <w:tblCellMar>
            <w:top w:w="0" w:type="dxa"/>
            <w:left w:w="108" w:type="dxa"/>
            <w:bottom w:w="0" w:type="dxa"/>
            <w:right w:w="108" w:type="dxa"/>
          </w:tblCellMar>
        </w:tblPrEx>
        <w:trPr>
          <w:trHeight w:val="287" w:hRule="atLeast"/>
          <w:jc w:val="center"/>
        </w:trPr>
        <w:tc>
          <w:tcPr>
            <w:tcW w:w="793" w:type="dxa"/>
            <w:vMerge w:val="continue"/>
            <w:tcBorders>
              <w:top w:val="single" w:color="auto" w:sz="4" w:space="0"/>
              <w:left w:val="single" w:color="auto" w:sz="4" w:space="0"/>
              <w:bottom w:val="single" w:color="auto" w:sz="4" w:space="0"/>
              <w:right w:val="single" w:color="auto" w:sz="4" w:space="0"/>
            </w:tcBorders>
            <w:noWrap/>
            <w:vAlign w:val="center"/>
          </w:tcPr>
          <w:p w14:paraId="16CCCFF3">
            <w:pPr>
              <w:shd w:val="clear"/>
              <w:jc w:val="center"/>
              <w:rPr>
                <w:color w:val="000000"/>
                <w:highlight w:val="none"/>
              </w:rPr>
            </w:pPr>
          </w:p>
        </w:tc>
        <w:tc>
          <w:tcPr>
            <w:tcW w:w="752" w:type="dxa"/>
            <w:tcBorders>
              <w:top w:val="nil"/>
              <w:left w:val="single" w:color="auto" w:sz="4" w:space="0"/>
              <w:bottom w:val="single" w:color="auto" w:sz="4" w:space="0"/>
              <w:right w:val="single" w:color="auto" w:sz="4" w:space="0"/>
            </w:tcBorders>
            <w:noWrap/>
            <w:vAlign w:val="center"/>
          </w:tcPr>
          <w:p w14:paraId="56D570C8">
            <w:pPr>
              <w:shd w:val="clear"/>
              <w:jc w:val="center"/>
              <w:rPr>
                <w:color w:val="000000"/>
                <w:highlight w:val="none"/>
              </w:rPr>
            </w:pPr>
          </w:p>
        </w:tc>
        <w:tc>
          <w:tcPr>
            <w:tcW w:w="2405" w:type="dxa"/>
            <w:tcBorders>
              <w:top w:val="nil"/>
              <w:left w:val="nil"/>
              <w:bottom w:val="single" w:color="auto" w:sz="4" w:space="0"/>
              <w:right w:val="single" w:color="auto" w:sz="4" w:space="0"/>
            </w:tcBorders>
            <w:noWrap/>
            <w:vAlign w:val="center"/>
          </w:tcPr>
          <w:p w14:paraId="20D40CFD">
            <w:pPr>
              <w:shd w:val="clear"/>
              <w:jc w:val="center"/>
              <w:rPr>
                <w:highlight w:val="none"/>
              </w:rPr>
            </w:pPr>
          </w:p>
        </w:tc>
        <w:tc>
          <w:tcPr>
            <w:tcW w:w="835" w:type="dxa"/>
            <w:tcBorders>
              <w:top w:val="single" w:color="auto" w:sz="4" w:space="0"/>
              <w:left w:val="single" w:color="auto" w:sz="4" w:space="0"/>
              <w:bottom w:val="single" w:color="auto" w:sz="4" w:space="0"/>
              <w:right w:val="single" w:color="auto" w:sz="4" w:space="0"/>
            </w:tcBorders>
            <w:noWrap/>
            <w:vAlign w:val="center"/>
          </w:tcPr>
          <w:p w14:paraId="656718EE">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57FE22D7">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39055B8C">
            <w:pPr>
              <w:shd w:val="clear"/>
              <w:jc w:val="center"/>
              <w:rPr>
                <w:color w:val="000000"/>
                <w:highlight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14:paraId="63E7C950">
            <w:pPr>
              <w:shd w:val="clear"/>
              <w:jc w:val="center"/>
              <w:rPr>
                <w:color w:val="000000"/>
                <w:highlight w:val="none"/>
              </w:rPr>
            </w:pPr>
          </w:p>
        </w:tc>
        <w:tc>
          <w:tcPr>
            <w:tcW w:w="1917" w:type="dxa"/>
            <w:vMerge w:val="continue"/>
            <w:tcBorders>
              <w:left w:val="single" w:color="auto" w:sz="4" w:space="0"/>
              <w:right w:val="single" w:color="auto" w:sz="4" w:space="0"/>
            </w:tcBorders>
            <w:noWrap/>
            <w:vAlign w:val="center"/>
          </w:tcPr>
          <w:p w14:paraId="054EC958">
            <w:pPr>
              <w:shd w:val="clear"/>
              <w:jc w:val="center"/>
              <w:rPr>
                <w:color w:val="000000"/>
                <w:highlight w:val="none"/>
              </w:rPr>
            </w:pPr>
          </w:p>
        </w:tc>
      </w:tr>
      <w:tr w14:paraId="625A149D">
        <w:tblPrEx>
          <w:tblCellMar>
            <w:top w:w="0" w:type="dxa"/>
            <w:left w:w="108" w:type="dxa"/>
            <w:bottom w:w="0" w:type="dxa"/>
            <w:right w:w="108" w:type="dxa"/>
          </w:tblCellMar>
        </w:tblPrEx>
        <w:trPr>
          <w:trHeight w:val="287" w:hRule="atLeast"/>
          <w:jc w:val="center"/>
        </w:trPr>
        <w:tc>
          <w:tcPr>
            <w:tcW w:w="793" w:type="dxa"/>
            <w:vMerge w:val="continue"/>
            <w:tcBorders>
              <w:top w:val="single" w:color="auto" w:sz="4" w:space="0"/>
              <w:left w:val="single" w:color="auto" w:sz="4" w:space="0"/>
              <w:bottom w:val="single" w:color="auto" w:sz="4" w:space="0"/>
              <w:right w:val="single" w:color="auto" w:sz="4" w:space="0"/>
            </w:tcBorders>
            <w:noWrap/>
            <w:vAlign w:val="center"/>
          </w:tcPr>
          <w:p w14:paraId="0A3086FE">
            <w:pPr>
              <w:shd w:val="clear"/>
              <w:jc w:val="center"/>
              <w:rPr>
                <w:color w:val="000000"/>
                <w:highlight w:val="none"/>
              </w:rPr>
            </w:pPr>
          </w:p>
        </w:tc>
        <w:tc>
          <w:tcPr>
            <w:tcW w:w="752" w:type="dxa"/>
            <w:tcBorders>
              <w:top w:val="nil"/>
              <w:left w:val="single" w:color="auto" w:sz="4" w:space="0"/>
              <w:bottom w:val="single" w:color="auto" w:sz="4" w:space="0"/>
              <w:right w:val="single" w:color="auto" w:sz="4" w:space="0"/>
            </w:tcBorders>
            <w:noWrap/>
            <w:vAlign w:val="center"/>
          </w:tcPr>
          <w:p w14:paraId="06AECFBE">
            <w:pPr>
              <w:shd w:val="clear"/>
              <w:jc w:val="center"/>
              <w:rPr>
                <w:color w:val="000000"/>
                <w:highlight w:val="none"/>
              </w:rPr>
            </w:pPr>
          </w:p>
        </w:tc>
        <w:tc>
          <w:tcPr>
            <w:tcW w:w="2405" w:type="dxa"/>
            <w:tcBorders>
              <w:top w:val="nil"/>
              <w:left w:val="nil"/>
              <w:bottom w:val="single" w:color="auto" w:sz="4" w:space="0"/>
              <w:right w:val="single" w:color="auto" w:sz="4" w:space="0"/>
            </w:tcBorders>
            <w:noWrap/>
            <w:vAlign w:val="center"/>
          </w:tcPr>
          <w:p w14:paraId="637B2AFB">
            <w:pPr>
              <w:shd w:val="clear"/>
              <w:jc w:val="center"/>
              <w:rPr>
                <w:highlight w:val="none"/>
              </w:rPr>
            </w:pPr>
          </w:p>
        </w:tc>
        <w:tc>
          <w:tcPr>
            <w:tcW w:w="835" w:type="dxa"/>
            <w:tcBorders>
              <w:top w:val="single" w:color="auto" w:sz="4" w:space="0"/>
              <w:left w:val="single" w:color="auto" w:sz="4" w:space="0"/>
              <w:bottom w:val="single" w:color="auto" w:sz="4" w:space="0"/>
              <w:right w:val="single" w:color="auto" w:sz="4" w:space="0"/>
            </w:tcBorders>
            <w:noWrap/>
            <w:vAlign w:val="center"/>
          </w:tcPr>
          <w:p w14:paraId="4BFBD9BE">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7061EA73">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573EC64C">
            <w:pPr>
              <w:shd w:val="clear"/>
              <w:jc w:val="center"/>
              <w:rPr>
                <w:color w:val="000000"/>
                <w:highlight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14:paraId="0C497455">
            <w:pPr>
              <w:shd w:val="clear"/>
              <w:jc w:val="center"/>
              <w:rPr>
                <w:color w:val="000000"/>
                <w:highlight w:val="none"/>
              </w:rPr>
            </w:pPr>
          </w:p>
        </w:tc>
        <w:tc>
          <w:tcPr>
            <w:tcW w:w="1917" w:type="dxa"/>
            <w:vMerge w:val="continue"/>
            <w:tcBorders>
              <w:left w:val="single" w:color="auto" w:sz="4" w:space="0"/>
              <w:right w:val="single" w:color="auto" w:sz="4" w:space="0"/>
            </w:tcBorders>
            <w:noWrap/>
            <w:vAlign w:val="center"/>
          </w:tcPr>
          <w:p w14:paraId="52901C05">
            <w:pPr>
              <w:shd w:val="clear"/>
              <w:jc w:val="center"/>
              <w:rPr>
                <w:color w:val="000000"/>
                <w:highlight w:val="none"/>
              </w:rPr>
            </w:pPr>
          </w:p>
        </w:tc>
      </w:tr>
      <w:tr w14:paraId="1799FCA7">
        <w:tblPrEx>
          <w:tblCellMar>
            <w:top w:w="0" w:type="dxa"/>
            <w:left w:w="108" w:type="dxa"/>
            <w:bottom w:w="0" w:type="dxa"/>
            <w:right w:w="108" w:type="dxa"/>
          </w:tblCellMar>
        </w:tblPrEx>
        <w:trPr>
          <w:trHeight w:val="287" w:hRule="atLeast"/>
          <w:jc w:val="center"/>
        </w:trPr>
        <w:tc>
          <w:tcPr>
            <w:tcW w:w="793" w:type="dxa"/>
            <w:vMerge w:val="continue"/>
            <w:tcBorders>
              <w:top w:val="single" w:color="auto" w:sz="4" w:space="0"/>
              <w:left w:val="single" w:color="auto" w:sz="4" w:space="0"/>
              <w:bottom w:val="single" w:color="auto" w:sz="4" w:space="0"/>
              <w:right w:val="single" w:color="auto" w:sz="4" w:space="0"/>
            </w:tcBorders>
            <w:noWrap/>
            <w:vAlign w:val="center"/>
          </w:tcPr>
          <w:p w14:paraId="417F3AD8">
            <w:pPr>
              <w:shd w:val="clear"/>
              <w:jc w:val="center"/>
              <w:rPr>
                <w:color w:val="000000"/>
                <w:highlight w:val="none"/>
              </w:rPr>
            </w:pPr>
          </w:p>
        </w:tc>
        <w:tc>
          <w:tcPr>
            <w:tcW w:w="752" w:type="dxa"/>
            <w:tcBorders>
              <w:top w:val="nil"/>
              <w:left w:val="single" w:color="auto" w:sz="4" w:space="0"/>
              <w:bottom w:val="single" w:color="auto" w:sz="4" w:space="0"/>
              <w:right w:val="single" w:color="auto" w:sz="4" w:space="0"/>
            </w:tcBorders>
            <w:noWrap/>
            <w:vAlign w:val="center"/>
          </w:tcPr>
          <w:p w14:paraId="71F29566">
            <w:pPr>
              <w:shd w:val="clear"/>
              <w:jc w:val="center"/>
              <w:rPr>
                <w:color w:val="000000"/>
                <w:highlight w:val="none"/>
              </w:rPr>
            </w:pPr>
          </w:p>
        </w:tc>
        <w:tc>
          <w:tcPr>
            <w:tcW w:w="2405" w:type="dxa"/>
            <w:tcBorders>
              <w:top w:val="nil"/>
              <w:left w:val="nil"/>
              <w:bottom w:val="single" w:color="auto" w:sz="4" w:space="0"/>
              <w:right w:val="single" w:color="auto" w:sz="4" w:space="0"/>
            </w:tcBorders>
            <w:noWrap/>
            <w:vAlign w:val="center"/>
          </w:tcPr>
          <w:p w14:paraId="0320D062">
            <w:pPr>
              <w:shd w:val="clear"/>
              <w:jc w:val="center"/>
              <w:rPr>
                <w:highlight w:val="none"/>
              </w:rPr>
            </w:pPr>
          </w:p>
        </w:tc>
        <w:tc>
          <w:tcPr>
            <w:tcW w:w="835" w:type="dxa"/>
            <w:tcBorders>
              <w:top w:val="single" w:color="auto" w:sz="4" w:space="0"/>
              <w:left w:val="single" w:color="auto" w:sz="4" w:space="0"/>
              <w:bottom w:val="single" w:color="auto" w:sz="4" w:space="0"/>
              <w:right w:val="single" w:color="auto" w:sz="4" w:space="0"/>
            </w:tcBorders>
            <w:noWrap/>
            <w:vAlign w:val="center"/>
          </w:tcPr>
          <w:p w14:paraId="3F8F2BDA">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5DB3F2C3">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59756394">
            <w:pPr>
              <w:shd w:val="clear"/>
              <w:jc w:val="center"/>
              <w:rPr>
                <w:color w:val="000000"/>
                <w:highlight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14:paraId="57A0582D">
            <w:pPr>
              <w:shd w:val="clear"/>
              <w:jc w:val="center"/>
              <w:rPr>
                <w:color w:val="000000"/>
                <w:highlight w:val="none"/>
              </w:rPr>
            </w:pPr>
          </w:p>
        </w:tc>
        <w:tc>
          <w:tcPr>
            <w:tcW w:w="1917" w:type="dxa"/>
            <w:vMerge w:val="continue"/>
            <w:tcBorders>
              <w:left w:val="single" w:color="auto" w:sz="4" w:space="0"/>
              <w:right w:val="single" w:color="auto" w:sz="4" w:space="0"/>
            </w:tcBorders>
            <w:noWrap/>
            <w:vAlign w:val="center"/>
          </w:tcPr>
          <w:p w14:paraId="312E654A">
            <w:pPr>
              <w:shd w:val="clear"/>
              <w:jc w:val="center"/>
              <w:rPr>
                <w:color w:val="000000"/>
                <w:highlight w:val="none"/>
              </w:rPr>
            </w:pPr>
          </w:p>
        </w:tc>
      </w:tr>
      <w:tr w14:paraId="7A6990D1">
        <w:tblPrEx>
          <w:tblCellMar>
            <w:top w:w="0" w:type="dxa"/>
            <w:left w:w="108" w:type="dxa"/>
            <w:bottom w:w="0" w:type="dxa"/>
            <w:right w:w="108" w:type="dxa"/>
          </w:tblCellMar>
        </w:tblPrEx>
        <w:trPr>
          <w:trHeight w:val="287" w:hRule="atLeast"/>
          <w:jc w:val="center"/>
        </w:trPr>
        <w:tc>
          <w:tcPr>
            <w:tcW w:w="793" w:type="dxa"/>
            <w:vMerge w:val="continue"/>
            <w:tcBorders>
              <w:top w:val="single" w:color="auto" w:sz="4" w:space="0"/>
              <w:left w:val="single" w:color="auto" w:sz="4" w:space="0"/>
              <w:bottom w:val="single" w:color="auto" w:sz="4" w:space="0"/>
              <w:right w:val="single" w:color="auto" w:sz="4" w:space="0"/>
            </w:tcBorders>
            <w:noWrap/>
            <w:vAlign w:val="center"/>
          </w:tcPr>
          <w:p w14:paraId="3D17C101">
            <w:pPr>
              <w:shd w:val="clear"/>
              <w:jc w:val="center"/>
              <w:rPr>
                <w:color w:val="000000"/>
                <w:highlight w:val="none"/>
              </w:rPr>
            </w:pPr>
          </w:p>
        </w:tc>
        <w:tc>
          <w:tcPr>
            <w:tcW w:w="752" w:type="dxa"/>
            <w:tcBorders>
              <w:top w:val="nil"/>
              <w:left w:val="single" w:color="auto" w:sz="4" w:space="0"/>
              <w:bottom w:val="single" w:color="auto" w:sz="4" w:space="0"/>
              <w:right w:val="single" w:color="auto" w:sz="4" w:space="0"/>
            </w:tcBorders>
            <w:noWrap/>
            <w:vAlign w:val="center"/>
          </w:tcPr>
          <w:p w14:paraId="7D1F190E">
            <w:pPr>
              <w:shd w:val="clear"/>
              <w:jc w:val="center"/>
              <w:rPr>
                <w:color w:val="000000"/>
                <w:highlight w:val="none"/>
              </w:rPr>
            </w:pPr>
          </w:p>
        </w:tc>
        <w:tc>
          <w:tcPr>
            <w:tcW w:w="2405" w:type="dxa"/>
            <w:tcBorders>
              <w:top w:val="nil"/>
              <w:left w:val="nil"/>
              <w:bottom w:val="single" w:color="auto" w:sz="4" w:space="0"/>
              <w:right w:val="single" w:color="auto" w:sz="4" w:space="0"/>
            </w:tcBorders>
            <w:noWrap/>
            <w:vAlign w:val="center"/>
          </w:tcPr>
          <w:p w14:paraId="1EDC92A1">
            <w:pPr>
              <w:shd w:val="clear"/>
              <w:jc w:val="center"/>
              <w:rPr>
                <w:highlight w:val="none"/>
              </w:rPr>
            </w:pPr>
          </w:p>
        </w:tc>
        <w:tc>
          <w:tcPr>
            <w:tcW w:w="835" w:type="dxa"/>
            <w:tcBorders>
              <w:top w:val="single" w:color="auto" w:sz="4" w:space="0"/>
              <w:left w:val="single" w:color="auto" w:sz="4" w:space="0"/>
              <w:bottom w:val="single" w:color="auto" w:sz="4" w:space="0"/>
              <w:right w:val="single" w:color="auto" w:sz="4" w:space="0"/>
            </w:tcBorders>
            <w:noWrap/>
            <w:vAlign w:val="center"/>
          </w:tcPr>
          <w:p w14:paraId="7C773F3E">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4C9DDA22">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01491DCC">
            <w:pPr>
              <w:shd w:val="clear"/>
              <w:jc w:val="center"/>
              <w:rPr>
                <w:color w:val="000000"/>
                <w:highlight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14:paraId="70F7A94A">
            <w:pPr>
              <w:shd w:val="clear"/>
              <w:jc w:val="center"/>
              <w:rPr>
                <w:color w:val="000000"/>
                <w:highlight w:val="none"/>
              </w:rPr>
            </w:pPr>
          </w:p>
        </w:tc>
        <w:tc>
          <w:tcPr>
            <w:tcW w:w="1917" w:type="dxa"/>
            <w:vMerge w:val="continue"/>
            <w:tcBorders>
              <w:left w:val="single" w:color="auto" w:sz="4" w:space="0"/>
              <w:right w:val="single" w:color="auto" w:sz="4" w:space="0"/>
            </w:tcBorders>
            <w:noWrap/>
            <w:vAlign w:val="center"/>
          </w:tcPr>
          <w:p w14:paraId="31BE05A9">
            <w:pPr>
              <w:shd w:val="clear"/>
              <w:jc w:val="center"/>
              <w:rPr>
                <w:color w:val="000000"/>
                <w:highlight w:val="none"/>
              </w:rPr>
            </w:pPr>
          </w:p>
        </w:tc>
      </w:tr>
      <w:tr w14:paraId="3871F3D3">
        <w:tblPrEx>
          <w:tblCellMar>
            <w:top w:w="0" w:type="dxa"/>
            <w:left w:w="108" w:type="dxa"/>
            <w:bottom w:w="0" w:type="dxa"/>
            <w:right w:w="108" w:type="dxa"/>
          </w:tblCellMar>
        </w:tblPrEx>
        <w:trPr>
          <w:trHeight w:val="287" w:hRule="atLeast"/>
          <w:jc w:val="center"/>
        </w:trPr>
        <w:tc>
          <w:tcPr>
            <w:tcW w:w="793" w:type="dxa"/>
            <w:vMerge w:val="continue"/>
            <w:tcBorders>
              <w:top w:val="single" w:color="auto" w:sz="4" w:space="0"/>
              <w:left w:val="single" w:color="auto" w:sz="4" w:space="0"/>
              <w:bottom w:val="single" w:color="auto" w:sz="4" w:space="0"/>
              <w:right w:val="single" w:color="auto" w:sz="4" w:space="0"/>
            </w:tcBorders>
            <w:noWrap/>
            <w:vAlign w:val="center"/>
          </w:tcPr>
          <w:p w14:paraId="518819AA">
            <w:pPr>
              <w:shd w:val="clear"/>
              <w:jc w:val="center"/>
              <w:rPr>
                <w:color w:val="000000"/>
                <w:highlight w:val="none"/>
              </w:rPr>
            </w:pPr>
          </w:p>
        </w:tc>
        <w:tc>
          <w:tcPr>
            <w:tcW w:w="752" w:type="dxa"/>
            <w:tcBorders>
              <w:top w:val="nil"/>
              <w:left w:val="single" w:color="auto" w:sz="4" w:space="0"/>
              <w:bottom w:val="single" w:color="auto" w:sz="4" w:space="0"/>
              <w:right w:val="single" w:color="auto" w:sz="4" w:space="0"/>
            </w:tcBorders>
            <w:noWrap/>
            <w:vAlign w:val="center"/>
          </w:tcPr>
          <w:p w14:paraId="631EA6BC">
            <w:pPr>
              <w:shd w:val="clear"/>
              <w:jc w:val="center"/>
              <w:rPr>
                <w:color w:val="000000"/>
                <w:highlight w:val="none"/>
              </w:rPr>
            </w:pPr>
          </w:p>
        </w:tc>
        <w:tc>
          <w:tcPr>
            <w:tcW w:w="2405" w:type="dxa"/>
            <w:tcBorders>
              <w:top w:val="nil"/>
              <w:left w:val="nil"/>
              <w:bottom w:val="single" w:color="auto" w:sz="4" w:space="0"/>
              <w:right w:val="single" w:color="auto" w:sz="4" w:space="0"/>
            </w:tcBorders>
            <w:noWrap/>
            <w:vAlign w:val="center"/>
          </w:tcPr>
          <w:p w14:paraId="356A35D3">
            <w:pPr>
              <w:shd w:val="clear"/>
              <w:jc w:val="center"/>
              <w:rPr>
                <w:color w:val="000000"/>
                <w:highlight w:val="none"/>
              </w:rPr>
            </w:pPr>
          </w:p>
        </w:tc>
        <w:tc>
          <w:tcPr>
            <w:tcW w:w="835" w:type="dxa"/>
            <w:tcBorders>
              <w:top w:val="single" w:color="auto" w:sz="4" w:space="0"/>
              <w:left w:val="single" w:color="auto" w:sz="4" w:space="0"/>
              <w:bottom w:val="single" w:color="auto" w:sz="4" w:space="0"/>
              <w:right w:val="single" w:color="auto" w:sz="4" w:space="0"/>
            </w:tcBorders>
            <w:noWrap/>
            <w:vAlign w:val="center"/>
          </w:tcPr>
          <w:p w14:paraId="19F6993F">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6EACF070">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2802544A">
            <w:pPr>
              <w:shd w:val="clear"/>
              <w:jc w:val="center"/>
              <w:rPr>
                <w:color w:val="000000"/>
                <w:highlight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14:paraId="3103211C">
            <w:pPr>
              <w:shd w:val="clear"/>
              <w:jc w:val="center"/>
              <w:rPr>
                <w:color w:val="000000"/>
                <w:highlight w:val="none"/>
              </w:rPr>
            </w:pPr>
          </w:p>
        </w:tc>
        <w:tc>
          <w:tcPr>
            <w:tcW w:w="1917" w:type="dxa"/>
            <w:vMerge w:val="continue"/>
            <w:tcBorders>
              <w:left w:val="single" w:color="auto" w:sz="4" w:space="0"/>
              <w:right w:val="single" w:color="auto" w:sz="4" w:space="0"/>
            </w:tcBorders>
            <w:noWrap/>
            <w:vAlign w:val="center"/>
          </w:tcPr>
          <w:p w14:paraId="2FFE9F97">
            <w:pPr>
              <w:shd w:val="clear"/>
              <w:jc w:val="center"/>
              <w:rPr>
                <w:color w:val="000000"/>
                <w:highlight w:val="none"/>
              </w:rPr>
            </w:pPr>
          </w:p>
        </w:tc>
      </w:tr>
      <w:tr w14:paraId="60FBADD8">
        <w:tblPrEx>
          <w:tblCellMar>
            <w:top w:w="0" w:type="dxa"/>
            <w:left w:w="108" w:type="dxa"/>
            <w:bottom w:w="0" w:type="dxa"/>
            <w:right w:w="108" w:type="dxa"/>
          </w:tblCellMar>
        </w:tblPrEx>
        <w:trPr>
          <w:trHeight w:val="287" w:hRule="atLeast"/>
          <w:jc w:val="center"/>
        </w:trPr>
        <w:tc>
          <w:tcPr>
            <w:tcW w:w="793" w:type="dxa"/>
            <w:vMerge w:val="continue"/>
            <w:tcBorders>
              <w:top w:val="single" w:color="auto" w:sz="4" w:space="0"/>
              <w:left w:val="single" w:color="auto" w:sz="4" w:space="0"/>
              <w:bottom w:val="single" w:color="auto" w:sz="4" w:space="0"/>
              <w:right w:val="single" w:color="auto" w:sz="4" w:space="0"/>
            </w:tcBorders>
            <w:noWrap/>
            <w:vAlign w:val="center"/>
          </w:tcPr>
          <w:p w14:paraId="7ADCDB95">
            <w:pPr>
              <w:shd w:val="clear"/>
              <w:jc w:val="center"/>
              <w:rPr>
                <w:color w:val="000000"/>
                <w:highlight w:val="none"/>
              </w:rPr>
            </w:pPr>
          </w:p>
        </w:tc>
        <w:tc>
          <w:tcPr>
            <w:tcW w:w="752" w:type="dxa"/>
            <w:tcBorders>
              <w:top w:val="nil"/>
              <w:left w:val="single" w:color="auto" w:sz="4" w:space="0"/>
              <w:bottom w:val="single" w:color="auto" w:sz="4" w:space="0"/>
              <w:right w:val="single" w:color="auto" w:sz="4" w:space="0"/>
            </w:tcBorders>
            <w:noWrap/>
            <w:vAlign w:val="center"/>
          </w:tcPr>
          <w:p w14:paraId="5AE60BE2">
            <w:pPr>
              <w:shd w:val="clear"/>
              <w:jc w:val="center"/>
              <w:rPr>
                <w:color w:val="000000"/>
                <w:highlight w:val="none"/>
              </w:rPr>
            </w:pPr>
          </w:p>
        </w:tc>
        <w:tc>
          <w:tcPr>
            <w:tcW w:w="2405" w:type="dxa"/>
            <w:tcBorders>
              <w:top w:val="nil"/>
              <w:left w:val="nil"/>
              <w:bottom w:val="single" w:color="auto" w:sz="4" w:space="0"/>
              <w:right w:val="single" w:color="auto" w:sz="4" w:space="0"/>
            </w:tcBorders>
            <w:noWrap/>
            <w:vAlign w:val="center"/>
          </w:tcPr>
          <w:p w14:paraId="119B3B34">
            <w:pPr>
              <w:shd w:val="clear"/>
              <w:jc w:val="center"/>
              <w:rPr>
                <w:color w:val="000000"/>
                <w:highlight w:val="none"/>
              </w:rPr>
            </w:pPr>
          </w:p>
        </w:tc>
        <w:tc>
          <w:tcPr>
            <w:tcW w:w="835" w:type="dxa"/>
            <w:tcBorders>
              <w:top w:val="single" w:color="auto" w:sz="4" w:space="0"/>
              <w:left w:val="single" w:color="auto" w:sz="4" w:space="0"/>
              <w:bottom w:val="single" w:color="auto" w:sz="4" w:space="0"/>
              <w:right w:val="single" w:color="auto" w:sz="4" w:space="0"/>
            </w:tcBorders>
            <w:noWrap/>
            <w:vAlign w:val="center"/>
          </w:tcPr>
          <w:p w14:paraId="35BAA0ED">
            <w:pPr>
              <w:shd w:val="clear"/>
              <w:jc w:val="center"/>
              <w:rPr>
                <w:color w:val="000000"/>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033F9788">
            <w:pPr>
              <w:shd w:val="clear"/>
              <w:jc w:val="center"/>
              <w:rPr>
                <w:color w:val="000000"/>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517658BC">
            <w:pPr>
              <w:shd w:val="clear"/>
              <w:jc w:val="center"/>
              <w:rPr>
                <w:color w:val="000000"/>
                <w:highlight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14:paraId="3668568D">
            <w:pPr>
              <w:shd w:val="clear"/>
              <w:jc w:val="center"/>
              <w:rPr>
                <w:color w:val="000000"/>
                <w:highlight w:val="none"/>
              </w:rPr>
            </w:pPr>
          </w:p>
        </w:tc>
        <w:tc>
          <w:tcPr>
            <w:tcW w:w="1917" w:type="dxa"/>
            <w:vMerge w:val="continue"/>
            <w:tcBorders>
              <w:left w:val="single" w:color="auto" w:sz="4" w:space="0"/>
              <w:right w:val="single" w:color="auto" w:sz="4" w:space="0"/>
            </w:tcBorders>
            <w:noWrap/>
            <w:vAlign w:val="center"/>
          </w:tcPr>
          <w:p w14:paraId="4BCC9682">
            <w:pPr>
              <w:shd w:val="clear"/>
              <w:jc w:val="center"/>
              <w:rPr>
                <w:color w:val="000000"/>
                <w:highlight w:val="none"/>
              </w:rPr>
            </w:pPr>
          </w:p>
        </w:tc>
      </w:tr>
      <w:tr w14:paraId="2062C3AF">
        <w:tblPrEx>
          <w:tblCellMar>
            <w:top w:w="0" w:type="dxa"/>
            <w:left w:w="108" w:type="dxa"/>
            <w:bottom w:w="0" w:type="dxa"/>
            <w:right w:w="108" w:type="dxa"/>
          </w:tblCellMar>
        </w:tblPrEx>
        <w:trPr>
          <w:trHeight w:val="553" w:hRule="atLeast"/>
          <w:jc w:val="center"/>
        </w:trPr>
        <w:tc>
          <w:tcPr>
            <w:tcW w:w="793" w:type="dxa"/>
            <w:vMerge w:val="restart"/>
            <w:tcBorders>
              <w:top w:val="single" w:color="auto" w:sz="4" w:space="0"/>
              <w:left w:val="single" w:color="auto" w:sz="4" w:space="0"/>
              <w:bottom w:val="single" w:color="auto" w:sz="4" w:space="0"/>
              <w:right w:val="single" w:color="auto" w:sz="4" w:space="0"/>
            </w:tcBorders>
            <w:noWrap/>
            <w:vAlign w:val="center"/>
          </w:tcPr>
          <w:p w14:paraId="46A4A92D">
            <w:pPr>
              <w:shd w:val="clear"/>
              <w:jc w:val="center"/>
              <w:rPr>
                <w:color w:val="000000"/>
                <w:highlight w:val="none"/>
              </w:rPr>
            </w:pPr>
          </w:p>
        </w:tc>
        <w:tc>
          <w:tcPr>
            <w:tcW w:w="752" w:type="dxa"/>
            <w:tcBorders>
              <w:top w:val="nil"/>
              <w:left w:val="single" w:color="auto" w:sz="4" w:space="0"/>
              <w:bottom w:val="single" w:color="auto" w:sz="4" w:space="0"/>
              <w:right w:val="single" w:color="auto" w:sz="4" w:space="0"/>
            </w:tcBorders>
            <w:noWrap/>
            <w:vAlign w:val="center"/>
          </w:tcPr>
          <w:p w14:paraId="4EA74B86">
            <w:pPr>
              <w:shd w:val="clear"/>
              <w:jc w:val="center"/>
              <w:rPr>
                <w:color w:val="000000"/>
                <w:highlight w:val="none"/>
              </w:rPr>
            </w:pPr>
          </w:p>
        </w:tc>
        <w:tc>
          <w:tcPr>
            <w:tcW w:w="2405" w:type="dxa"/>
            <w:tcBorders>
              <w:top w:val="nil"/>
              <w:left w:val="nil"/>
              <w:bottom w:val="single" w:color="auto" w:sz="4" w:space="0"/>
              <w:right w:val="single" w:color="auto" w:sz="4" w:space="0"/>
            </w:tcBorders>
            <w:noWrap/>
            <w:vAlign w:val="center"/>
          </w:tcPr>
          <w:p w14:paraId="4D792D40">
            <w:pPr>
              <w:shd w:val="clear"/>
              <w:jc w:val="center"/>
              <w:rPr>
                <w:highlight w:val="none"/>
              </w:rPr>
            </w:pPr>
          </w:p>
        </w:tc>
        <w:tc>
          <w:tcPr>
            <w:tcW w:w="835" w:type="dxa"/>
            <w:tcBorders>
              <w:top w:val="single" w:color="auto" w:sz="4" w:space="0"/>
              <w:left w:val="single" w:color="auto" w:sz="4" w:space="0"/>
              <w:bottom w:val="single" w:color="auto" w:sz="4" w:space="0"/>
              <w:right w:val="single" w:color="auto" w:sz="4" w:space="0"/>
            </w:tcBorders>
            <w:noWrap/>
            <w:vAlign w:val="center"/>
          </w:tcPr>
          <w:p w14:paraId="6F5A4712">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21CB5A31">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295A8056">
            <w:pPr>
              <w:shd w:val="clear"/>
              <w:jc w:val="center"/>
              <w:rPr>
                <w:color w:val="000000"/>
                <w:highlight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14:paraId="750F0E39">
            <w:pPr>
              <w:shd w:val="clear"/>
              <w:jc w:val="center"/>
              <w:rPr>
                <w:color w:val="000000"/>
                <w:highlight w:val="none"/>
              </w:rPr>
            </w:pPr>
          </w:p>
        </w:tc>
        <w:tc>
          <w:tcPr>
            <w:tcW w:w="1917" w:type="dxa"/>
            <w:vMerge w:val="continue"/>
            <w:tcBorders>
              <w:left w:val="single" w:color="auto" w:sz="4" w:space="0"/>
              <w:right w:val="single" w:color="auto" w:sz="4" w:space="0"/>
            </w:tcBorders>
            <w:noWrap/>
            <w:vAlign w:val="center"/>
          </w:tcPr>
          <w:p w14:paraId="2A588D5A">
            <w:pPr>
              <w:shd w:val="clear"/>
              <w:jc w:val="center"/>
              <w:rPr>
                <w:color w:val="000000"/>
                <w:highlight w:val="none"/>
              </w:rPr>
            </w:pPr>
          </w:p>
        </w:tc>
      </w:tr>
      <w:tr w14:paraId="259E962E">
        <w:tblPrEx>
          <w:tblCellMar>
            <w:top w:w="0" w:type="dxa"/>
            <w:left w:w="108" w:type="dxa"/>
            <w:bottom w:w="0" w:type="dxa"/>
            <w:right w:w="108" w:type="dxa"/>
          </w:tblCellMar>
        </w:tblPrEx>
        <w:trPr>
          <w:trHeight w:val="287" w:hRule="atLeast"/>
          <w:jc w:val="center"/>
        </w:trPr>
        <w:tc>
          <w:tcPr>
            <w:tcW w:w="793" w:type="dxa"/>
            <w:vMerge w:val="continue"/>
            <w:tcBorders>
              <w:top w:val="single" w:color="auto" w:sz="4" w:space="0"/>
              <w:left w:val="single" w:color="auto" w:sz="4" w:space="0"/>
              <w:bottom w:val="single" w:color="auto" w:sz="4" w:space="0"/>
              <w:right w:val="single" w:color="auto" w:sz="4" w:space="0"/>
            </w:tcBorders>
            <w:noWrap/>
            <w:vAlign w:val="top"/>
          </w:tcPr>
          <w:p w14:paraId="56B55C44">
            <w:pPr>
              <w:shd w:val="clear"/>
              <w:jc w:val="center"/>
              <w:rPr>
                <w:color w:val="000000"/>
                <w:highlight w:val="none"/>
              </w:rPr>
            </w:pPr>
          </w:p>
        </w:tc>
        <w:tc>
          <w:tcPr>
            <w:tcW w:w="752" w:type="dxa"/>
            <w:tcBorders>
              <w:top w:val="nil"/>
              <w:left w:val="single" w:color="auto" w:sz="4" w:space="0"/>
              <w:bottom w:val="single" w:color="auto" w:sz="4" w:space="0"/>
              <w:right w:val="single" w:color="auto" w:sz="4" w:space="0"/>
            </w:tcBorders>
            <w:noWrap/>
            <w:vAlign w:val="center"/>
          </w:tcPr>
          <w:p w14:paraId="687B3C08">
            <w:pPr>
              <w:shd w:val="clear"/>
              <w:jc w:val="center"/>
              <w:rPr>
                <w:color w:val="000000"/>
                <w:highlight w:val="none"/>
              </w:rPr>
            </w:pPr>
          </w:p>
        </w:tc>
        <w:tc>
          <w:tcPr>
            <w:tcW w:w="2405" w:type="dxa"/>
            <w:tcBorders>
              <w:top w:val="nil"/>
              <w:left w:val="nil"/>
              <w:bottom w:val="single" w:color="auto" w:sz="4" w:space="0"/>
              <w:right w:val="single" w:color="auto" w:sz="4" w:space="0"/>
            </w:tcBorders>
            <w:noWrap/>
            <w:vAlign w:val="center"/>
          </w:tcPr>
          <w:p w14:paraId="041A8901">
            <w:pPr>
              <w:shd w:val="clear"/>
              <w:jc w:val="center"/>
              <w:rPr>
                <w:highlight w:val="none"/>
              </w:rPr>
            </w:pPr>
          </w:p>
        </w:tc>
        <w:tc>
          <w:tcPr>
            <w:tcW w:w="835" w:type="dxa"/>
            <w:tcBorders>
              <w:top w:val="single" w:color="auto" w:sz="4" w:space="0"/>
              <w:left w:val="single" w:color="auto" w:sz="4" w:space="0"/>
              <w:bottom w:val="single" w:color="auto" w:sz="4" w:space="0"/>
              <w:right w:val="single" w:color="auto" w:sz="4" w:space="0"/>
            </w:tcBorders>
            <w:noWrap/>
            <w:vAlign w:val="center"/>
          </w:tcPr>
          <w:p w14:paraId="51F71360">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105690BC">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22535337">
            <w:pPr>
              <w:shd w:val="clear"/>
              <w:jc w:val="center"/>
              <w:rPr>
                <w:color w:val="000000"/>
                <w:highlight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14:paraId="0B9563A1">
            <w:pPr>
              <w:shd w:val="clear"/>
              <w:jc w:val="center"/>
              <w:rPr>
                <w:color w:val="000000"/>
                <w:highlight w:val="none"/>
              </w:rPr>
            </w:pPr>
          </w:p>
        </w:tc>
        <w:tc>
          <w:tcPr>
            <w:tcW w:w="1917" w:type="dxa"/>
            <w:vMerge w:val="continue"/>
            <w:tcBorders>
              <w:left w:val="single" w:color="auto" w:sz="4" w:space="0"/>
              <w:right w:val="single" w:color="auto" w:sz="4" w:space="0"/>
            </w:tcBorders>
            <w:noWrap/>
            <w:vAlign w:val="center"/>
          </w:tcPr>
          <w:p w14:paraId="25622019">
            <w:pPr>
              <w:shd w:val="clear"/>
              <w:jc w:val="center"/>
              <w:rPr>
                <w:color w:val="000000"/>
                <w:highlight w:val="none"/>
              </w:rPr>
            </w:pPr>
          </w:p>
        </w:tc>
      </w:tr>
      <w:tr w14:paraId="15ABF6E7">
        <w:tblPrEx>
          <w:tblCellMar>
            <w:top w:w="0" w:type="dxa"/>
            <w:left w:w="108" w:type="dxa"/>
            <w:bottom w:w="0" w:type="dxa"/>
            <w:right w:w="108" w:type="dxa"/>
          </w:tblCellMar>
        </w:tblPrEx>
        <w:trPr>
          <w:trHeight w:val="287" w:hRule="atLeast"/>
          <w:jc w:val="center"/>
        </w:trPr>
        <w:tc>
          <w:tcPr>
            <w:tcW w:w="793" w:type="dxa"/>
            <w:vMerge w:val="continue"/>
            <w:tcBorders>
              <w:top w:val="single" w:color="auto" w:sz="4" w:space="0"/>
              <w:left w:val="single" w:color="auto" w:sz="4" w:space="0"/>
              <w:bottom w:val="single" w:color="auto" w:sz="4" w:space="0"/>
              <w:right w:val="single" w:color="auto" w:sz="4" w:space="0"/>
            </w:tcBorders>
            <w:noWrap/>
            <w:vAlign w:val="top"/>
          </w:tcPr>
          <w:p w14:paraId="57F71D12">
            <w:pPr>
              <w:shd w:val="clear"/>
              <w:jc w:val="center"/>
              <w:rPr>
                <w:color w:val="000000"/>
                <w:highlight w:val="none"/>
              </w:rPr>
            </w:pPr>
          </w:p>
        </w:tc>
        <w:tc>
          <w:tcPr>
            <w:tcW w:w="752" w:type="dxa"/>
            <w:tcBorders>
              <w:top w:val="nil"/>
              <w:left w:val="single" w:color="auto" w:sz="4" w:space="0"/>
              <w:bottom w:val="single" w:color="auto" w:sz="4" w:space="0"/>
              <w:right w:val="single" w:color="auto" w:sz="4" w:space="0"/>
            </w:tcBorders>
            <w:noWrap/>
            <w:vAlign w:val="center"/>
          </w:tcPr>
          <w:p w14:paraId="32185298">
            <w:pPr>
              <w:shd w:val="clear"/>
              <w:jc w:val="center"/>
              <w:rPr>
                <w:color w:val="000000"/>
                <w:highlight w:val="none"/>
              </w:rPr>
            </w:pPr>
          </w:p>
        </w:tc>
        <w:tc>
          <w:tcPr>
            <w:tcW w:w="2405" w:type="dxa"/>
            <w:tcBorders>
              <w:top w:val="nil"/>
              <w:left w:val="nil"/>
              <w:bottom w:val="single" w:color="auto" w:sz="4" w:space="0"/>
              <w:right w:val="single" w:color="auto" w:sz="4" w:space="0"/>
            </w:tcBorders>
            <w:noWrap/>
            <w:vAlign w:val="center"/>
          </w:tcPr>
          <w:p w14:paraId="5DBF5E6E">
            <w:pPr>
              <w:shd w:val="clear"/>
              <w:jc w:val="center"/>
              <w:rPr>
                <w:highlight w:val="none"/>
              </w:rPr>
            </w:pPr>
          </w:p>
        </w:tc>
        <w:tc>
          <w:tcPr>
            <w:tcW w:w="835" w:type="dxa"/>
            <w:tcBorders>
              <w:top w:val="single" w:color="auto" w:sz="4" w:space="0"/>
              <w:left w:val="single" w:color="auto" w:sz="4" w:space="0"/>
              <w:bottom w:val="single" w:color="auto" w:sz="4" w:space="0"/>
              <w:right w:val="single" w:color="auto" w:sz="4" w:space="0"/>
            </w:tcBorders>
            <w:noWrap/>
            <w:vAlign w:val="center"/>
          </w:tcPr>
          <w:p w14:paraId="24F53B26">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1528A513">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05029EE3">
            <w:pPr>
              <w:shd w:val="clear"/>
              <w:jc w:val="center"/>
              <w:rPr>
                <w:color w:val="000000"/>
                <w:highlight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14:paraId="4B10FE85">
            <w:pPr>
              <w:shd w:val="clear"/>
              <w:jc w:val="center"/>
              <w:rPr>
                <w:color w:val="000000"/>
                <w:highlight w:val="none"/>
              </w:rPr>
            </w:pPr>
          </w:p>
        </w:tc>
        <w:tc>
          <w:tcPr>
            <w:tcW w:w="1917" w:type="dxa"/>
            <w:vMerge w:val="continue"/>
            <w:tcBorders>
              <w:left w:val="single" w:color="auto" w:sz="4" w:space="0"/>
              <w:right w:val="single" w:color="auto" w:sz="4" w:space="0"/>
            </w:tcBorders>
            <w:noWrap/>
            <w:vAlign w:val="center"/>
          </w:tcPr>
          <w:p w14:paraId="46C13717">
            <w:pPr>
              <w:shd w:val="clear"/>
              <w:jc w:val="center"/>
              <w:rPr>
                <w:color w:val="000000"/>
                <w:highlight w:val="none"/>
              </w:rPr>
            </w:pPr>
          </w:p>
        </w:tc>
      </w:tr>
      <w:tr w14:paraId="5F3C70BD">
        <w:tblPrEx>
          <w:tblCellMar>
            <w:top w:w="0" w:type="dxa"/>
            <w:left w:w="108" w:type="dxa"/>
            <w:bottom w:w="0" w:type="dxa"/>
            <w:right w:w="108" w:type="dxa"/>
          </w:tblCellMar>
        </w:tblPrEx>
        <w:trPr>
          <w:trHeight w:val="287" w:hRule="atLeast"/>
          <w:jc w:val="center"/>
        </w:trPr>
        <w:tc>
          <w:tcPr>
            <w:tcW w:w="793" w:type="dxa"/>
            <w:vMerge w:val="continue"/>
            <w:tcBorders>
              <w:top w:val="single" w:color="auto" w:sz="4" w:space="0"/>
              <w:left w:val="single" w:color="auto" w:sz="4" w:space="0"/>
              <w:bottom w:val="single" w:color="auto" w:sz="4" w:space="0"/>
              <w:right w:val="single" w:color="auto" w:sz="4" w:space="0"/>
            </w:tcBorders>
            <w:noWrap/>
            <w:vAlign w:val="top"/>
          </w:tcPr>
          <w:p w14:paraId="236698E1">
            <w:pPr>
              <w:shd w:val="clear"/>
              <w:jc w:val="center"/>
              <w:rPr>
                <w:color w:val="000000"/>
                <w:highlight w:val="none"/>
              </w:rPr>
            </w:pPr>
          </w:p>
        </w:tc>
        <w:tc>
          <w:tcPr>
            <w:tcW w:w="752" w:type="dxa"/>
            <w:tcBorders>
              <w:top w:val="nil"/>
              <w:left w:val="single" w:color="auto" w:sz="4" w:space="0"/>
              <w:bottom w:val="single" w:color="auto" w:sz="4" w:space="0"/>
              <w:right w:val="single" w:color="auto" w:sz="4" w:space="0"/>
            </w:tcBorders>
            <w:noWrap/>
            <w:vAlign w:val="center"/>
          </w:tcPr>
          <w:p w14:paraId="5D1EDB9D">
            <w:pPr>
              <w:shd w:val="clear"/>
              <w:jc w:val="center"/>
              <w:rPr>
                <w:color w:val="000000"/>
                <w:highlight w:val="none"/>
              </w:rPr>
            </w:pPr>
          </w:p>
        </w:tc>
        <w:tc>
          <w:tcPr>
            <w:tcW w:w="2405" w:type="dxa"/>
            <w:tcBorders>
              <w:top w:val="nil"/>
              <w:left w:val="nil"/>
              <w:bottom w:val="single" w:color="auto" w:sz="4" w:space="0"/>
              <w:right w:val="single" w:color="auto" w:sz="4" w:space="0"/>
            </w:tcBorders>
            <w:noWrap/>
            <w:vAlign w:val="center"/>
          </w:tcPr>
          <w:p w14:paraId="31A428A7">
            <w:pPr>
              <w:shd w:val="clear"/>
              <w:jc w:val="center"/>
              <w:rPr>
                <w:highlight w:val="none"/>
              </w:rPr>
            </w:pPr>
          </w:p>
        </w:tc>
        <w:tc>
          <w:tcPr>
            <w:tcW w:w="835" w:type="dxa"/>
            <w:tcBorders>
              <w:top w:val="single" w:color="auto" w:sz="4" w:space="0"/>
              <w:left w:val="single" w:color="auto" w:sz="4" w:space="0"/>
              <w:bottom w:val="single" w:color="auto" w:sz="4" w:space="0"/>
              <w:right w:val="single" w:color="auto" w:sz="4" w:space="0"/>
            </w:tcBorders>
            <w:noWrap/>
            <w:vAlign w:val="center"/>
          </w:tcPr>
          <w:p w14:paraId="43D3116B">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4B3AFD78">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174BEFDF">
            <w:pPr>
              <w:shd w:val="clear"/>
              <w:jc w:val="center"/>
              <w:rPr>
                <w:color w:val="000000"/>
                <w:highlight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14:paraId="2E67ED25">
            <w:pPr>
              <w:shd w:val="clear"/>
              <w:jc w:val="center"/>
              <w:rPr>
                <w:color w:val="000000"/>
                <w:highlight w:val="none"/>
              </w:rPr>
            </w:pPr>
          </w:p>
        </w:tc>
        <w:tc>
          <w:tcPr>
            <w:tcW w:w="1917" w:type="dxa"/>
            <w:vMerge w:val="continue"/>
            <w:tcBorders>
              <w:left w:val="single" w:color="auto" w:sz="4" w:space="0"/>
              <w:right w:val="single" w:color="auto" w:sz="4" w:space="0"/>
            </w:tcBorders>
            <w:noWrap/>
            <w:vAlign w:val="center"/>
          </w:tcPr>
          <w:p w14:paraId="5CC1714F">
            <w:pPr>
              <w:shd w:val="clear"/>
              <w:jc w:val="center"/>
              <w:rPr>
                <w:color w:val="000000"/>
                <w:highlight w:val="none"/>
              </w:rPr>
            </w:pPr>
          </w:p>
        </w:tc>
      </w:tr>
      <w:tr w14:paraId="10C86170">
        <w:tblPrEx>
          <w:tblCellMar>
            <w:top w:w="0" w:type="dxa"/>
            <w:left w:w="108" w:type="dxa"/>
            <w:bottom w:w="0" w:type="dxa"/>
            <w:right w:w="108" w:type="dxa"/>
          </w:tblCellMar>
        </w:tblPrEx>
        <w:trPr>
          <w:trHeight w:val="287" w:hRule="atLeast"/>
          <w:jc w:val="center"/>
        </w:trPr>
        <w:tc>
          <w:tcPr>
            <w:tcW w:w="793" w:type="dxa"/>
            <w:vMerge w:val="continue"/>
            <w:tcBorders>
              <w:top w:val="single" w:color="auto" w:sz="4" w:space="0"/>
              <w:left w:val="single" w:color="auto" w:sz="4" w:space="0"/>
              <w:bottom w:val="single" w:color="auto" w:sz="4" w:space="0"/>
              <w:right w:val="single" w:color="auto" w:sz="4" w:space="0"/>
            </w:tcBorders>
            <w:noWrap/>
            <w:vAlign w:val="top"/>
          </w:tcPr>
          <w:p w14:paraId="0255116E">
            <w:pPr>
              <w:shd w:val="clear"/>
              <w:jc w:val="center"/>
              <w:rPr>
                <w:color w:val="000000"/>
                <w:highlight w:val="none"/>
              </w:rPr>
            </w:pPr>
          </w:p>
        </w:tc>
        <w:tc>
          <w:tcPr>
            <w:tcW w:w="752" w:type="dxa"/>
            <w:tcBorders>
              <w:top w:val="nil"/>
              <w:left w:val="single" w:color="auto" w:sz="4" w:space="0"/>
              <w:bottom w:val="single" w:color="auto" w:sz="4" w:space="0"/>
              <w:right w:val="single" w:color="auto" w:sz="4" w:space="0"/>
            </w:tcBorders>
            <w:noWrap/>
            <w:vAlign w:val="center"/>
          </w:tcPr>
          <w:p w14:paraId="67692F40">
            <w:pPr>
              <w:shd w:val="clear"/>
              <w:jc w:val="center"/>
              <w:rPr>
                <w:color w:val="000000"/>
                <w:highlight w:val="none"/>
              </w:rPr>
            </w:pPr>
          </w:p>
        </w:tc>
        <w:tc>
          <w:tcPr>
            <w:tcW w:w="2405" w:type="dxa"/>
            <w:tcBorders>
              <w:top w:val="nil"/>
              <w:left w:val="nil"/>
              <w:bottom w:val="single" w:color="auto" w:sz="4" w:space="0"/>
              <w:right w:val="single" w:color="auto" w:sz="4" w:space="0"/>
            </w:tcBorders>
            <w:noWrap/>
            <w:vAlign w:val="center"/>
          </w:tcPr>
          <w:p w14:paraId="79F2C548">
            <w:pPr>
              <w:shd w:val="clear"/>
              <w:jc w:val="center"/>
              <w:rPr>
                <w:highlight w:val="none"/>
              </w:rPr>
            </w:pPr>
          </w:p>
        </w:tc>
        <w:tc>
          <w:tcPr>
            <w:tcW w:w="835" w:type="dxa"/>
            <w:tcBorders>
              <w:top w:val="single" w:color="auto" w:sz="4" w:space="0"/>
              <w:left w:val="single" w:color="auto" w:sz="4" w:space="0"/>
              <w:bottom w:val="single" w:color="auto" w:sz="4" w:space="0"/>
              <w:right w:val="single" w:color="auto" w:sz="4" w:space="0"/>
            </w:tcBorders>
            <w:noWrap/>
            <w:vAlign w:val="center"/>
          </w:tcPr>
          <w:p w14:paraId="08A0F573">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6126A744">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4155A6F2">
            <w:pPr>
              <w:shd w:val="clear"/>
              <w:jc w:val="center"/>
              <w:rPr>
                <w:color w:val="000000"/>
                <w:highlight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14:paraId="334997DF">
            <w:pPr>
              <w:shd w:val="clear"/>
              <w:jc w:val="center"/>
              <w:rPr>
                <w:color w:val="000000"/>
                <w:highlight w:val="none"/>
              </w:rPr>
            </w:pPr>
          </w:p>
        </w:tc>
        <w:tc>
          <w:tcPr>
            <w:tcW w:w="1917" w:type="dxa"/>
            <w:vMerge w:val="continue"/>
            <w:tcBorders>
              <w:left w:val="single" w:color="auto" w:sz="4" w:space="0"/>
              <w:right w:val="single" w:color="auto" w:sz="4" w:space="0"/>
            </w:tcBorders>
            <w:noWrap/>
            <w:vAlign w:val="center"/>
          </w:tcPr>
          <w:p w14:paraId="7DE07FE0">
            <w:pPr>
              <w:shd w:val="clear"/>
              <w:jc w:val="center"/>
              <w:rPr>
                <w:color w:val="000000"/>
                <w:highlight w:val="none"/>
              </w:rPr>
            </w:pPr>
          </w:p>
        </w:tc>
      </w:tr>
      <w:tr w14:paraId="6B049176">
        <w:tblPrEx>
          <w:tblCellMar>
            <w:top w:w="0" w:type="dxa"/>
            <w:left w:w="108" w:type="dxa"/>
            <w:bottom w:w="0" w:type="dxa"/>
            <w:right w:w="108" w:type="dxa"/>
          </w:tblCellMar>
        </w:tblPrEx>
        <w:trPr>
          <w:trHeight w:val="287" w:hRule="atLeast"/>
          <w:jc w:val="center"/>
        </w:trPr>
        <w:tc>
          <w:tcPr>
            <w:tcW w:w="793" w:type="dxa"/>
            <w:vMerge w:val="continue"/>
            <w:tcBorders>
              <w:top w:val="single" w:color="auto" w:sz="4" w:space="0"/>
              <w:left w:val="single" w:color="auto" w:sz="4" w:space="0"/>
              <w:bottom w:val="single" w:color="auto" w:sz="4" w:space="0"/>
              <w:right w:val="single" w:color="auto" w:sz="4" w:space="0"/>
            </w:tcBorders>
            <w:noWrap/>
            <w:vAlign w:val="top"/>
          </w:tcPr>
          <w:p w14:paraId="1F2EEE71">
            <w:pPr>
              <w:shd w:val="clear"/>
              <w:jc w:val="center"/>
              <w:rPr>
                <w:color w:val="000000"/>
                <w:highlight w:val="none"/>
              </w:rPr>
            </w:pPr>
          </w:p>
        </w:tc>
        <w:tc>
          <w:tcPr>
            <w:tcW w:w="752" w:type="dxa"/>
            <w:tcBorders>
              <w:top w:val="nil"/>
              <w:left w:val="single" w:color="auto" w:sz="4" w:space="0"/>
              <w:bottom w:val="single" w:color="auto" w:sz="4" w:space="0"/>
              <w:right w:val="single" w:color="auto" w:sz="4" w:space="0"/>
            </w:tcBorders>
            <w:noWrap/>
            <w:vAlign w:val="center"/>
          </w:tcPr>
          <w:p w14:paraId="33C835D4">
            <w:pPr>
              <w:shd w:val="clear"/>
              <w:jc w:val="center"/>
              <w:rPr>
                <w:color w:val="000000"/>
                <w:highlight w:val="none"/>
              </w:rPr>
            </w:pPr>
          </w:p>
        </w:tc>
        <w:tc>
          <w:tcPr>
            <w:tcW w:w="2405" w:type="dxa"/>
            <w:tcBorders>
              <w:top w:val="nil"/>
              <w:left w:val="nil"/>
              <w:bottom w:val="single" w:color="auto" w:sz="4" w:space="0"/>
              <w:right w:val="single" w:color="auto" w:sz="4" w:space="0"/>
            </w:tcBorders>
            <w:noWrap/>
            <w:vAlign w:val="center"/>
          </w:tcPr>
          <w:p w14:paraId="79FCF67B">
            <w:pPr>
              <w:shd w:val="clear"/>
              <w:jc w:val="center"/>
              <w:rPr>
                <w:color w:val="000000"/>
                <w:highlight w:val="none"/>
              </w:rPr>
            </w:pPr>
          </w:p>
        </w:tc>
        <w:tc>
          <w:tcPr>
            <w:tcW w:w="835" w:type="dxa"/>
            <w:tcBorders>
              <w:top w:val="single" w:color="auto" w:sz="4" w:space="0"/>
              <w:left w:val="single" w:color="auto" w:sz="4" w:space="0"/>
              <w:bottom w:val="single" w:color="auto" w:sz="4" w:space="0"/>
              <w:right w:val="single" w:color="auto" w:sz="4" w:space="0"/>
            </w:tcBorders>
            <w:noWrap/>
            <w:vAlign w:val="center"/>
          </w:tcPr>
          <w:p w14:paraId="3174E340">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20D4D119">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759E51B7">
            <w:pPr>
              <w:shd w:val="clear"/>
              <w:jc w:val="center"/>
              <w:rPr>
                <w:color w:val="000000"/>
                <w:highlight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14:paraId="006ECF8E">
            <w:pPr>
              <w:shd w:val="clear"/>
              <w:jc w:val="center"/>
              <w:rPr>
                <w:color w:val="000000"/>
                <w:highlight w:val="none"/>
              </w:rPr>
            </w:pPr>
          </w:p>
        </w:tc>
        <w:tc>
          <w:tcPr>
            <w:tcW w:w="1917" w:type="dxa"/>
            <w:vMerge w:val="continue"/>
            <w:tcBorders>
              <w:left w:val="single" w:color="auto" w:sz="4" w:space="0"/>
              <w:right w:val="single" w:color="auto" w:sz="4" w:space="0"/>
            </w:tcBorders>
            <w:noWrap/>
            <w:vAlign w:val="center"/>
          </w:tcPr>
          <w:p w14:paraId="29F562E5">
            <w:pPr>
              <w:shd w:val="clear"/>
              <w:jc w:val="center"/>
              <w:rPr>
                <w:color w:val="000000"/>
                <w:highlight w:val="none"/>
              </w:rPr>
            </w:pPr>
          </w:p>
        </w:tc>
      </w:tr>
      <w:tr w14:paraId="6F406BFE">
        <w:tblPrEx>
          <w:tblCellMar>
            <w:top w:w="0" w:type="dxa"/>
            <w:left w:w="108" w:type="dxa"/>
            <w:bottom w:w="0" w:type="dxa"/>
            <w:right w:w="108" w:type="dxa"/>
          </w:tblCellMar>
        </w:tblPrEx>
        <w:trPr>
          <w:trHeight w:val="307" w:hRule="atLeast"/>
          <w:jc w:val="center"/>
        </w:trPr>
        <w:tc>
          <w:tcPr>
            <w:tcW w:w="793" w:type="dxa"/>
            <w:vMerge w:val="continue"/>
            <w:tcBorders>
              <w:top w:val="single" w:color="auto" w:sz="4" w:space="0"/>
              <w:left w:val="single" w:color="auto" w:sz="4" w:space="0"/>
              <w:bottom w:val="single" w:color="auto" w:sz="4" w:space="0"/>
              <w:right w:val="single" w:color="auto" w:sz="4" w:space="0"/>
            </w:tcBorders>
            <w:noWrap/>
            <w:vAlign w:val="top"/>
          </w:tcPr>
          <w:p w14:paraId="7D48E581">
            <w:pPr>
              <w:shd w:val="clear"/>
              <w:jc w:val="center"/>
              <w:rPr>
                <w:color w:val="000000"/>
                <w:highlight w:val="none"/>
              </w:rPr>
            </w:pPr>
          </w:p>
        </w:tc>
        <w:tc>
          <w:tcPr>
            <w:tcW w:w="752" w:type="dxa"/>
            <w:tcBorders>
              <w:top w:val="nil"/>
              <w:left w:val="single" w:color="auto" w:sz="4" w:space="0"/>
              <w:bottom w:val="nil"/>
              <w:right w:val="single" w:color="auto" w:sz="4" w:space="0"/>
            </w:tcBorders>
            <w:noWrap/>
            <w:vAlign w:val="center"/>
          </w:tcPr>
          <w:p w14:paraId="5C7BC85B">
            <w:pPr>
              <w:shd w:val="clear"/>
              <w:jc w:val="center"/>
              <w:rPr>
                <w:color w:val="000000"/>
                <w:highlight w:val="none"/>
              </w:rPr>
            </w:pPr>
          </w:p>
        </w:tc>
        <w:tc>
          <w:tcPr>
            <w:tcW w:w="2405" w:type="dxa"/>
            <w:tcBorders>
              <w:top w:val="nil"/>
              <w:left w:val="nil"/>
              <w:bottom w:val="nil"/>
              <w:right w:val="single" w:color="auto" w:sz="4" w:space="0"/>
            </w:tcBorders>
            <w:noWrap/>
            <w:vAlign w:val="center"/>
          </w:tcPr>
          <w:p w14:paraId="7F959A4A">
            <w:pPr>
              <w:shd w:val="clear"/>
              <w:jc w:val="center"/>
              <w:rPr>
                <w:color w:val="000000"/>
                <w:highlight w:val="none"/>
              </w:rPr>
            </w:pPr>
          </w:p>
        </w:tc>
        <w:tc>
          <w:tcPr>
            <w:tcW w:w="835" w:type="dxa"/>
            <w:tcBorders>
              <w:top w:val="single" w:color="auto" w:sz="4" w:space="0"/>
              <w:left w:val="single" w:color="auto" w:sz="4" w:space="0"/>
              <w:bottom w:val="single" w:color="auto" w:sz="4" w:space="0"/>
              <w:right w:val="single" w:color="auto" w:sz="4" w:space="0"/>
            </w:tcBorders>
            <w:noWrap/>
            <w:vAlign w:val="center"/>
          </w:tcPr>
          <w:p w14:paraId="00E76D7E">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026A5EDD">
            <w:pPr>
              <w:shd w:val="clear"/>
              <w:jc w:val="center"/>
              <w:rPr>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48ED48B3">
            <w:pPr>
              <w:shd w:val="clear"/>
              <w:jc w:val="center"/>
              <w:rPr>
                <w:color w:val="000000"/>
                <w:highlight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14:paraId="4F966231">
            <w:pPr>
              <w:shd w:val="clear"/>
              <w:jc w:val="center"/>
              <w:rPr>
                <w:color w:val="000000"/>
                <w:highlight w:val="none"/>
              </w:rPr>
            </w:pPr>
          </w:p>
        </w:tc>
        <w:tc>
          <w:tcPr>
            <w:tcW w:w="1917" w:type="dxa"/>
            <w:vMerge w:val="continue"/>
            <w:tcBorders>
              <w:left w:val="single" w:color="auto" w:sz="4" w:space="0"/>
              <w:bottom w:val="single" w:color="auto" w:sz="4" w:space="0"/>
              <w:right w:val="single" w:color="auto" w:sz="4" w:space="0"/>
            </w:tcBorders>
            <w:noWrap/>
            <w:vAlign w:val="center"/>
          </w:tcPr>
          <w:p w14:paraId="3914E6AD">
            <w:pPr>
              <w:shd w:val="clear"/>
              <w:jc w:val="center"/>
              <w:rPr>
                <w:color w:val="000000"/>
                <w:highlight w:val="none"/>
              </w:rPr>
            </w:pPr>
          </w:p>
        </w:tc>
      </w:tr>
      <w:tr w14:paraId="5A740651">
        <w:tblPrEx>
          <w:tblCellMar>
            <w:top w:w="0" w:type="dxa"/>
            <w:left w:w="108" w:type="dxa"/>
            <w:bottom w:w="0" w:type="dxa"/>
            <w:right w:w="108" w:type="dxa"/>
          </w:tblCellMar>
        </w:tblPrEx>
        <w:trPr>
          <w:trHeight w:val="307" w:hRule="atLeast"/>
          <w:jc w:val="center"/>
        </w:trPr>
        <w:tc>
          <w:tcPr>
            <w:tcW w:w="9775" w:type="dxa"/>
            <w:gridSpan w:val="8"/>
            <w:tcBorders>
              <w:top w:val="single" w:color="auto" w:sz="4" w:space="0"/>
              <w:left w:val="single" w:color="auto" w:sz="4" w:space="0"/>
              <w:bottom w:val="single" w:color="auto" w:sz="4" w:space="0"/>
              <w:right w:val="single" w:color="auto" w:sz="4" w:space="0"/>
            </w:tcBorders>
            <w:noWrap/>
            <w:vAlign w:val="top"/>
          </w:tcPr>
          <w:p w14:paraId="0E5A14C3">
            <w:pPr>
              <w:shd w:val="clear"/>
              <w:spacing w:line="420" w:lineRule="exact"/>
              <w:ind w:firstLine="480" w:firstLineChars="200"/>
              <w:rPr>
                <w:rFonts w:hint="eastAsia" w:ascii="仿宋_GB2312" w:eastAsia="仿宋_GB2312" w:cs="仿宋"/>
                <w:sz w:val="28"/>
                <w:szCs w:val="28"/>
                <w:highlight w:val="none"/>
              </w:rPr>
            </w:pPr>
            <w:r>
              <w:rPr>
                <w:rFonts w:hint="eastAsia" w:ascii="宋体" w:hAnsi="宋体" w:cs="宋体"/>
                <w:color w:val="000000"/>
                <w:sz w:val="24"/>
                <w:highlight w:val="none"/>
              </w:rPr>
              <w:t>合计人民币金额(大写)：     （含</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%增值税</w:t>
            </w:r>
            <w:r>
              <w:rPr>
                <w:rFonts w:hint="eastAsia" w:ascii="宋体" w:hAnsi="宋体" w:cs="宋体"/>
                <w:b/>
                <w:bCs/>
                <w:color w:val="000000"/>
                <w:sz w:val="24"/>
                <w:highlight w:val="none"/>
              </w:rPr>
              <w:t>¥</w:t>
            </w:r>
            <w:r>
              <w:rPr>
                <w:rFonts w:hint="eastAsia" w:ascii="宋体" w:hAnsi="宋体" w:cs="宋体"/>
                <w:color w:val="000000"/>
                <w:sz w:val="24"/>
                <w:highlight w:val="none"/>
              </w:rPr>
              <w:t xml:space="preserve">      ）</w:t>
            </w:r>
            <w:r>
              <w:rPr>
                <w:rFonts w:hint="eastAsia" w:ascii="仿宋_GB2312" w:eastAsia="仿宋_GB2312" w:cs="仿宋"/>
                <w:sz w:val="28"/>
                <w:szCs w:val="28"/>
                <w:highlight w:val="none"/>
              </w:rPr>
              <w:t>价格包括材料费、</w:t>
            </w:r>
            <w:r>
              <w:rPr>
                <w:rFonts w:hint="eastAsia" w:ascii="仿宋_GB2312" w:eastAsia="仿宋_GB2312" w:cs="仿宋"/>
                <w:sz w:val="28"/>
                <w:szCs w:val="28"/>
                <w:highlight w:val="none"/>
                <w:lang w:val="en-US" w:eastAsia="zh-CN"/>
              </w:rPr>
              <w:t>运费、</w:t>
            </w:r>
            <w:r>
              <w:rPr>
                <w:rFonts w:hint="eastAsia" w:ascii="仿宋_GB2312" w:eastAsia="仿宋_GB2312" w:cs="仿宋"/>
                <w:sz w:val="28"/>
                <w:szCs w:val="28"/>
                <w:highlight w:val="none"/>
              </w:rPr>
              <w:t>设备费、人工费、税金和服务等费用。</w:t>
            </w:r>
          </w:p>
          <w:p w14:paraId="0B995EDF">
            <w:pPr>
              <w:shd w:val="clear"/>
              <w:jc w:val="center"/>
              <w:rPr>
                <w:color w:val="000000"/>
                <w:highlight w:val="none"/>
              </w:rPr>
            </w:pPr>
          </w:p>
        </w:tc>
      </w:tr>
    </w:tbl>
    <w:p w14:paraId="4FF64773">
      <w:pPr>
        <w:shd w:val="clear"/>
        <w:spacing w:line="400" w:lineRule="exact"/>
        <w:ind w:firstLine="560" w:firstLineChars="200"/>
        <w:rPr>
          <w:rFonts w:hint="eastAsia"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rPr>
        <w:t>2</w:t>
      </w:r>
      <w:r>
        <w:rPr>
          <w:rFonts w:hint="eastAsia" w:ascii="仿宋_GB2312" w:hAnsi="仿宋_GB2312" w:eastAsia="仿宋_GB2312" w:cs="仿宋_GB2312"/>
          <w:color w:val="000000"/>
          <w:sz w:val="28"/>
          <w:szCs w:val="28"/>
          <w:highlight w:val="none"/>
          <w:lang w:val="zh-CN"/>
        </w:rPr>
        <w:t>、以上为预估工程量</w:t>
      </w:r>
      <w:r>
        <w:rPr>
          <w:rFonts w:hint="eastAsia" w:ascii="仿宋_GB2312" w:hAnsi="仿宋_GB2312" w:eastAsia="仿宋_GB2312" w:cs="仿宋_GB2312"/>
          <w:color w:val="000000"/>
          <w:sz w:val="28"/>
          <w:szCs w:val="28"/>
          <w:highlight w:val="none"/>
        </w:rPr>
        <w:t>，合同总额为本合同结算上限</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本合同履行过程中价格不受市场价格波动的影响</w:t>
      </w:r>
      <w:r>
        <w:rPr>
          <w:rFonts w:hint="eastAsia" w:ascii="仿宋_GB2312" w:hAnsi="仿宋_GB2312" w:eastAsia="仿宋_GB2312" w:cs="仿宋_GB2312"/>
          <w:color w:val="000000"/>
          <w:sz w:val="28"/>
          <w:szCs w:val="28"/>
          <w:highlight w:val="none"/>
          <w:lang w:eastAsia="zh-CN"/>
        </w:rPr>
        <w:t>，</w:t>
      </w:r>
      <w:r>
        <w:rPr>
          <w:rFonts w:hint="eastAsia" w:ascii="仿宋_GB2312" w:eastAsia="仿宋_GB2312" w:cs="仿宋"/>
          <w:sz w:val="28"/>
          <w:szCs w:val="28"/>
          <w:highlight w:val="none"/>
        </w:rPr>
        <w:t>实际结算以双方共同验收的实际数量乘以本合同单价为准</w:t>
      </w:r>
      <w:r>
        <w:rPr>
          <w:rFonts w:hint="eastAsia" w:ascii="仿宋_GB2312" w:hAnsi="仿宋_GB2312" w:eastAsia="仿宋_GB2312" w:cs="仿宋_GB2312"/>
          <w:color w:val="000000"/>
          <w:sz w:val="28"/>
          <w:szCs w:val="28"/>
          <w:highlight w:val="none"/>
          <w:lang w:val="zh-CN"/>
        </w:rPr>
        <w:t>。</w:t>
      </w:r>
    </w:p>
    <w:p w14:paraId="5DF24319">
      <w:pPr>
        <w:shd w:val="clear"/>
        <w:spacing w:line="400" w:lineRule="exact"/>
        <w:ind w:firstLine="560" w:firstLineChars="200"/>
        <w:rPr>
          <w:rFonts w:hint="eastAsia"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rPr>
        <w:t>3</w:t>
      </w:r>
      <w:r>
        <w:rPr>
          <w:rFonts w:hint="eastAsia" w:ascii="仿宋_GB2312" w:hAnsi="仿宋_GB2312" w:eastAsia="仿宋_GB2312" w:cs="仿宋_GB2312"/>
          <w:color w:val="000000"/>
          <w:sz w:val="28"/>
          <w:szCs w:val="28"/>
          <w:highlight w:val="none"/>
          <w:lang w:val="zh-CN"/>
        </w:rPr>
        <w:t>、承包方式：包工包料。</w:t>
      </w:r>
    </w:p>
    <w:p w14:paraId="0CBFA150">
      <w:pPr>
        <w:numPr>
          <w:ilvl w:val="0"/>
          <w:numId w:val="0"/>
        </w:numPr>
        <w:spacing w:line="400" w:lineRule="exact"/>
        <w:ind w:firstLine="560" w:firstLineChars="200"/>
        <w:rPr>
          <w:rFonts w:hint="eastAsia" w:ascii="仿宋_GB2312" w:eastAsia="仿宋_GB2312" w:cs="仿宋"/>
          <w:sz w:val="28"/>
          <w:szCs w:val="28"/>
          <w:lang w:val="en-US" w:eastAsia="zh-CN"/>
        </w:rPr>
      </w:pPr>
      <w:r>
        <w:rPr>
          <w:rFonts w:hint="eastAsia" w:ascii="仿宋_GB2312" w:eastAsia="仿宋_GB2312" w:cs="仿宋"/>
          <w:sz w:val="28"/>
          <w:szCs w:val="28"/>
          <w:lang w:val="en-US" w:eastAsia="zh-CN"/>
        </w:rPr>
        <w:t>4、电机从离开甲</w:t>
      </w:r>
      <w:r>
        <w:rPr>
          <w:rFonts w:hint="eastAsia" w:ascii="仿宋_GB2312" w:eastAsia="仿宋_GB2312" w:cs="仿宋"/>
          <w:color w:val="auto"/>
          <w:sz w:val="28"/>
          <w:szCs w:val="28"/>
          <w:lang w:val="en-US" w:eastAsia="zh-CN"/>
        </w:rPr>
        <w:t>方住所地至送回交接验收期间的</w:t>
      </w:r>
      <w:r>
        <w:rPr>
          <w:rFonts w:hint="eastAsia" w:ascii="仿宋_GB2312" w:eastAsia="仿宋_GB2312" w:cs="仿宋"/>
          <w:sz w:val="28"/>
          <w:szCs w:val="28"/>
          <w:lang w:val="en-US" w:eastAsia="zh-CN"/>
        </w:rPr>
        <w:t>意外损毁及灭失风险归乙方承担。</w:t>
      </w:r>
    </w:p>
    <w:bookmarkEnd w:id="220"/>
    <w:bookmarkEnd w:id="221"/>
    <w:p w14:paraId="360CB866">
      <w:pPr>
        <w:shd w:val="clear"/>
        <w:spacing w:line="420" w:lineRule="exact"/>
        <w:ind w:firstLine="560" w:firstLineChars="200"/>
        <w:rPr>
          <w:rFonts w:hint="eastAsia" w:ascii="仿宋_GB2312" w:eastAsia="仿宋_GB2312" w:cs="仿宋"/>
          <w:sz w:val="28"/>
          <w:szCs w:val="28"/>
          <w:highlight w:val="none"/>
        </w:rPr>
      </w:pPr>
      <w:r>
        <w:rPr>
          <w:rFonts w:hint="eastAsia" w:ascii="仿宋_GB2312" w:eastAsia="仿宋_GB2312" w:cs="仿宋"/>
          <w:sz w:val="28"/>
          <w:szCs w:val="28"/>
          <w:highlight w:val="none"/>
          <w:lang w:val="en-US" w:eastAsia="zh-CN"/>
        </w:rPr>
        <w:t>5</w:t>
      </w:r>
      <w:r>
        <w:rPr>
          <w:rFonts w:hint="eastAsia" w:ascii="仿宋_GB2312" w:eastAsia="仿宋_GB2312" w:cs="仿宋"/>
          <w:sz w:val="28"/>
          <w:szCs w:val="28"/>
          <w:highlight w:val="none"/>
          <w:lang w:eastAsia="zh-CN"/>
        </w:rPr>
        <w:t>、</w:t>
      </w:r>
      <w:r>
        <w:rPr>
          <w:rFonts w:hint="eastAsia" w:ascii="仿宋_GB2312" w:eastAsia="仿宋_GB2312" w:cs="仿宋"/>
          <w:sz w:val="28"/>
          <w:szCs w:val="28"/>
          <w:highlight w:val="none"/>
        </w:rPr>
        <w:t>合同在履行期间，遇国家税收政策调整，以不含税价格为准。税率调整后，未开增值税发票的货款相应调整，调整后的货款为：</w:t>
      </w:r>
    </w:p>
    <w:p w14:paraId="794CCB22">
      <w:pPr>
        <w:shd w:val="clear"/>
        <w:spacing w:line="420" w:lineRule="exact"/>
        <w:ind w:firstLine="560" w:firstLineChars="200"/>
        <w:rPr>
          <w:rFonts w:hint="eastAsia" w:ascii="仿宋_GB2312" w:eastAsia="仿宋_GB2312" w:cs="仿宋"/>
          <w:sz w:val="28"/>
          <w:szCs w:val="28"/>
          <w:highlight w:val="none"/>
        </w:rPr>
      </w:pPr>
      <w:r>
        <w:rPr>
          <w:rFonts w:hint="eastAsia" w:ascii="仿宋_GB2312" w:eastAsia="仿宋_GB2312" w:cs="仿宋"/>
          <w:sz w:val="28"/>
          <w:szCs w:val="28"/>
          <w:highlight w:val="none"/>
        </w:rPr>
        <w:t>未开增值税发票的货款÷(1+原税率)×（1＋新税率）</w:t>
      </w:r>
    </w:p>
    <w:p w14:paraId="178E5264">
      <w:pPr>
        <w:numPr>
          <w:ilvl w:val="0"/>
          <w:numId w:val="0"/>
        </w:numPr>
        <w:shd w:val="clear"/>
        <w:spacing w:line="420" w:lineRule="exact"/>
        <w:ind w:firstLine="560" w:firstLineChars="200"/>
        <w:rPr>
          <w:rFonts w:hint="eastAsia" w:ascii="仿宋_GB2312" w:eastAsia="仿宋_GB2312" w:cs="仿宋"/>
          <w:sz w:val="28"/>
          <w:szCs w:val="28"/>
          <w:highlight w:val="none"/>
        </w:rPr>
      </w:pPr>
      <w:r>
        <w:rPr>
          <w:rFonts w:hint="eastAsia" w:ascii="仿宋_GB2312" w:eastAsia="仿宋_GB2312" w:cs="仿宋"/>
          <w:sz w:val="28"/>
          <w:szCs w:val="28"/>
          <w:highlight w:val="none"/>
          <w:lang w:val="en-US" w:eastAsia="zh-CN"/>
        </w:rPr>
        <w:t>6、</w:t>
      </w:r>
      <w:r>
        <w:rPr>
          <w:rFonts w:hint="eastAsia" w:ascii="仿宋_GB2312" w:eastAsia="仿宋_GB2312" w:cs="仿宋"/>
          <w:sz w:val="28"/>
          <w:szCs w:val="28"/>
          <w:highlight w:val="none"/>
        </w:rPr>
        <w:t>本合同计价货币、结算货币和支付货币为人民币。</w:t>
      </w:r>
    </w:p>
    <w:p w14:paraId="6175E210">
      <w:pPr>
        <w:shd w:val="clear"/>
        <w:spacing w:line="420" w:lineRule="exact"/>
        <w:ind w:left="319" w:leftChars="133" w:firstLine="280" w:firstLineChars="100"/>
        <w:rPr>
          <w:rFonts w:hint="eastAsia"/>
          <w:highlight w:val="none"/>
        </w:rPr>
      </w:pPr>
      <w:r>
        <w:rPr>
          <w:rFonts w:hint="eastAsia" w:ascii="仿宋_GB2312" w:eastAsia="仿宋_GB2312"/>
          <w:sz w:val="28"/>
          <w:szCs w:val="28"/>
          <w:highlight w:val="none"/>
          <w:lang w:val="en-US" w:eastAsia="zh-CN"/>
        </w:rPr>
        <w:t>7、本合同</w:t>
      </w:r>
      <w:r>
        <w:rPr>
          <w:rFonts w:hint="eastAsia" w:ascii="仿宋_GB2312" w:eastAsia="仿宋_GB2312"/>
          <w:sz w:val="28"/>
          <w:szCs w:val="28"/>
          <w:highlight w:val="none"/>
        </w:rPr>
        <w:t>有效期</w:t>
      </w:r>
      <w:r>
        <w:rPr>
          <w:rFonts w:hint="eastAsia" w:ascii="仿宋_GB2312" w:eastAsia="仿宋_GB2312"/>
          <w:sz w:val="28"/>
          <w:szCs w:val="28"/>
          <w:highlight w:val="none"/>
          <w:lang w:val="en-US" w:eastAsia="zh-CN"/>
        </w:rPr>
        <w:t>自签订日起一</w:t>
      </w:r>
      <w:r>
        <w:rPr>
          <w:rFonts w:hint="eastAsia" w:ascii="仿宋_GB2312" w:eastAsia="仿宋_GB2312"/>
          <w:sz w:val="28"/>
          <w:szCs w:val="28"/>
          <w:highlight w:val="none"/>
        </w:rPr>
        <w:t>年。</w:t>
      </w:r>
    </w:p>
    <w:p w14:paraId="7E7CA5C1">
      <w:pPr>
        <w:pStyle w:val="59"/>
        <w:shd w:val="clear"/>
        <w:spacing w:line="420" w:lineRule="exact"/>
        <w:ind w:left="851" w:leftChars="0" w:hanging="851" w:firstLineChars="0"/>
        <w:outlineLvl w:val="0"/>
        <w:rPr>
          <w:rFonts w:hint="eastAsia" w:ascii="仿宋_GB2312" w:eastAsia="仿宋_GB2312"/>
          <w:sz w:val="28"/>
          <w:szCs w:val="28"/>
          <w:highlight w:val="none"/>
        </w:rPr>
      </w:pPr>
      <w:bookmarkStart w:id="222" w:name="_Toc3452"/>
      <w:bookmarkStart w:id="223" w:name="_Toc507025406"/>
      <w:bookmarkStart w:id="224" w:name="_Toc521503306"/>
      <w:r>
        <w:rPr>
          <w:rFonts w:hint="eastAsia" w:ascii="仿宋_GB2312" w:eastAsia="仿宋_GB2312"/>
          <w:sz w:val="28"/>
          <w:szCs w:val="28"/>
          <w:highlight w:val="none"/>
          <w:lang w:val="en-US" w:eastAsia="zh-CN"/>
        </w:rPr>
        <w:t>二、</w:t>
      </w:r>
      <w:r>
        <w:rPr>
          <w:rFonts w:hint="eastAsia" w:ascii="仿宋_GB2312" w:eastAsia="仿宋_GB2312"/>
          <w:sz w:val="28"/>
          <w:szCs w:val="28"/>
          <w:highlight w:val="none"/>
        </w:rPr>
        <w:t>支付</w:t>
      </w:r>
      <w:bookmarkEnd w:id="222"/>
      <w:bookmarkEnd w:id="223"/>
      <w:bookmarkEnd w:id="224"/>
    </w:p>
    <w:p w14:paraId="37586C85">
      <w:pPr>
        <w:shd w:val="clear"/>
        <w:snapToGrid w:val="0"/>
        <w:spacing w:line="420" w:lineRule="exact"/>
        <w:ind w:firstLine="560" w:firstLineChars="200"/>
        <w:rPr>
          <w:rFonts w:hint="eastAsia" w:ascii="仿宋_GB2312" w:eastAsia="仿宋_GB2312" w:cs="仿宋"/>
          <w:sz w:val="28"/>
          <w:szCs w:val="28"/>
          <w:highlight w:val="none"/>
        </w:rPr>
      </w:pPr>
      <w:r>
        <w:rPr>
          <w:rFonts w:hint="eastAsia" w:ascii="仿宋_GB2312" w:eastAsia="仿宋_GB2312" w:cs="仿宋"/>
          <w:sz w:val="28"/>
          <w:szCs w:val="28"/>
          <w:highlight w:val="none"/>
        </w:rPr>
        <w:t>1</w:t>
      </w:r>
      <w:r>
        <w:rPr>
          <w:rFonts w:hint="eastAsia" w:ascii="仿宋_GB2312" w:eastAsia="仿宋_GB2312" w:cs="仿宋"/>
          <w:sz w:val="28"/>
          <w:szCs w:val="28"/>
          <w:highlight w:val="none"/>
          <w:lang w:eastAsia="zh-CN"/>
        </w:rPr>
        <w:t>、</w:t>
      </w:r>
      <w:r>
        <w:rPr>
          <w:rFonts w:hint="eastAsia" w:ascii="仿宋_GB2312" w:eastAsia="仿宋_GB2312" w:cs="仿宋"/>
          <w:sz w:val="28"/>
          <w:szCs w:val="28"/>
          <w:highlight w:val="none"/>
        </w:rPr>
        <w:t>甲方以</w:t>
      </w:r>
      <w:r>
        <w:rPr>
          <w:rFonts w:hint="eastAsia" w:ascii="仿宋_GB2312" w:eastAsia="仿宋_GB2312" w:cs="仿宋"/>
          <w:sz w:val="28"/>
          <w:szCs w:val="28"/>
          <w:highlight w:val="none"/>
          <w:lang w:val="en-US" w:eastAsia="zh-CN"/>
        </w:rPr>
        <w:t>**</w:t>
      </w:r>
      <w:r>
        <w:rPr>
          <w:rFonts w:hint="eastAsia" w:ascii="仿宋_GB2312" w:eastAsia="仿宋_GB2312" w:cs="仿宋"/>
          <w:sz w:val="28"/>
          <w:szCs w:val="28"/>
          <w:highlight w:val="none"/>
        </w:rPr>
        <w:t>方式</w:t>
      </w:r>
      <w:r>
        <w:rPr>
          <w:rFonts w:hint="eastAsia" w:ascii="仿宋_GB2312" w:eastAsia="仿宋_GB2312" w:cs="仿宋"/>
          <w:sz w:val="28"/>
          <w:szCs w:val="28"/>
          <w:highlight w:val="none"/>
          <w:lang w:eastAsia="zh-CN"/>
        </w:rPr>
        <w:t>（</w:t>
      </w:r>
      <w:r>
        <w:rPr>
          <w:rFonts w:hint="eastAsia" w:ascii="仿宋_GB2312" w:eastAsia="仿宋_GB2312" w:cs="仿宋"/>
          <w:sz w:val="28"/>
          <w:szCs w:val="28"/>
          <w:highlight w:val="none"/>
          <w:lang w:val="en-US" w:eastAsia="zh-CN"/>
        </w:rPr>
        <w:t>以双方约定为准</w:t>
      </w:r>
      <w:r>
        <w:rPr>
          <w:rFonts w:hint="eastAsia" w:ascii="仿宋_GB2312" w:eastAsia="仿宋_GB2312" w:cs="仿宋"/>
          <w:sz w:val="28"/>
          <w:szCs w:val="28"/>
          <w:highlight w:val="none"/>
          <w:lang w:eastAsia="zh-CN"/>
        </w:rPr>
        <w:t>）</w:t>
      </w:r>
      <w:r>
        <w:rPr>
          <w:rFonts w:hint="eastAsia" w:ascii="仿宋_GB2312" w:eastAsia="仿宋_GB2312" w:cs="仿宋"/>
          <w:sz w:val="28"/>
          <w:szCs w:val="28"/>
          <w:highlight w:val="none"/>
        </w:rPr>
        <w:t>向乙方支付费用。</w:t>
      </w:r>
    </w:p>
    <w:p w14:paraId="12FAA316">
      <w:pPr>
        <w:shd w:val="clear"/>
        <w:snapToGrid w:val="0"/>
        <w:spacing w:line="420" w:lineRule="exact"/>
        <w:ind w:firstLine="560" w:firstLineChars="200"/>
        <w:rPr>
          <w:rFonts w:hint="eastAsia" w:ascii="仿宋_GB2312" w:hAnsi="Calibri" w:eastAsia="仿宋_GB2312" w:cs="仿宋"/>
          <w:sz w:val="28"/>
          <w:szCs w:val="28"/>
          <w:highlight w:val="none"/>
        </w:rPr>
      </w:pPr>
      <w:r>
        <w:rPr>
          <w:rFonts w:hint="eastAsia" w:ascii="仿宋_GB2312" w:hAnsi="Calibri" w:eastAsia="仿宋_GB2312" w:cs="仿宋"/>
          <w:sz w:val="28"/>
          <w:szCs w:val="28"/>
          <w:highlight w:val="none"/>
        </w:rPr>
        <w:t>2</w:t>
      </w:r>
      <w:r>
        <w:rPr>
          <w:rFonts w:hint="eastAsia" w:ascii="仿宋_GB2312" w:hAnsi="Calibri" w:eastAsia="仿宋_GB2312" w:cs="仿宋"/>
          <w:sz w:val="28"/>
          <w:szCs w:val="28"/>
          <w:highlight w:val="none"/>
          <w:lang w:eastAsia="zh-CN"/>
        </w:rPr>
        <w:t>、</w:t>
      </w:r>
      <w:r>
        <w:rPr>
          <w:rFonts w:hint="eastAsia" w:ascii="仿宋_GB2312" w:hAnsi="Calibri" w:eastAsia="仿宋_GB2312" w:cs="仿宋"/>
          <w:sz w:val="28"/>
          <w:szCs w:val="28"/>
          <w:highlight w:val="none"/>
        </w:rPr>
        <w:t>按照实际工程量每季度结算一次，合同有效期内结算上限为</w:t>
      </w:r>
      <w:r>
        <w:rPr>
          <w:rFonts w:hint="eastAsia" w:ascii="仿宋_GB2312" w:hAnsi="Calibri" w:eastAsia="仿宋_GB2312" w:cs="仿宋"/>
          <w:sz w:val="28"/>
          <w:szCs w:val="28"/>
          <w:highlight w:val="none"/>
          <w:lang w:val="en-US" w:eastAsia="zh-CN"/>
        </w:rPr>
        <w:t>***</w:t>
      </w:r>
      <w:r>
        <w:rPr>
          <w:rFonts w:hint="eastAsia" w:ascii="仿宋_GB2312" w:hAnsi="Calibri" w:eastAsia="仿宋_GB2312" w:cs="仿宋"/>
          <w:sz w:val="28"/>
          <w:szCs w:val="28"/>
          <w:highlight w:val="none"/>
        </w:rPr>
        <w:t>万元，合同到期或结算额达到结算上限后合同终止</w:t>
      </w:r>
      <w:r>
        <w:rPr>
          <w:rFonts w:hint="eastAsia" w:ascii="仿宋_GB2312" w:hAnsi="Calibri" w:eastAsia="仿宋_GB2312" w:cs="仿宋"/>
          <w:sz w:val="28"/>
          <w:szCs w:val="28"/>
          <w:highlight w:val="none"/>
          <w:lang w:eastAsia="zh-CN"/>
        </w:rPr>
        <w:t>，</w:t>
      </w:r>
      <w:r>
        <w:rPr>
          <w:rFonts w:hint="eastAsia" w:ascii="仿宋_GB2312" w:hAnsi="Calibri" w:eastAsia="仿宋_GB2312" w:cs="仿宋"/>
          <w:sz w:val="28"/>
          <w:szCs w:val="28"/>
          <w:highlight w:val="none"/>
          <w:lang w:val="en-US" w:eastAsia="zh-CN"/>
        </w:rPr>
        <w:t>但不影响已发生交易的结算及质保条款的效力</w:t>
      </w:r>
      <w:r>
        <w:rPr>
          <w:rFonts w:hint="eastAsia" w:ascii="仿宋_GB2312" w:hAnsi="Calibri" w:eastAsia="仿宋_GB2312" w:cs="仿宋"/>
          <w:sz w:val="28"/>
          <w:szCs w:val="28"/>
          <w:highlight w:val="none"/>
        </w:rPr>
        <w:t>。</w:t>
      </w:r>
    </w:p>
    <w:p w14:paraId="4BC2F049">
      <w:pPr>
        <w:shd w:val="clear"/>
        <w:snapToGrid w:val="0"/>
        <w:spacing w:line="420" w:lineRule="exact"/>
        <w:ind w:firstLine="560" w:firstLineChars="200"/>
        <w:rPr>
          <w:rFonts w:hint="eastAsia" w:ascii="仿宋_GB2312" w:hAnsi="Calibri" w:eastAsia="仿宋_GB2312" w:cs="仿宋"/>
          <w:sz w:val="28"/>
          <w:szCs w:val="28"/>
          <w:highlight w:val="none"/>
        </w:rPr>
      </w:pPr>
      <w:r>
        <w:rPr>
          <w:rFonts w:hint="eastAsia" w:ascii="仿宋_GB2312" w:hAnsi="Calibri" w:eastAsia="仿宋_GB2312" w:cs="仿宋"/>
          <w:sz w:val="28"/>
          <w:szCs w:val="28"/>
          <w:highlight w:val="none"/>
          <w:lang w:val="en-US" w:eastAsia="zh-CN"/>
        </w:rPr>
        <w:t>3</w:t>
      </w:r>
      <w:r>
        <w:rPr>
          <w:rFonts w:hint="eastAsia" w:ascii="仿宋_GB2312" w:hAnsi="Calibri" w:eastAsia="仿宋_GB2312" w:cs="仿宋"/>
          <w:sz w:val="28"/>
          <w:szCs w:val="28"/>
          <w:highlight w:val="none"/>
          <w:lang w:eastAsia="zh-CN"/>
        </w:rPr>
        <w:t>、</w:t>
      </w:r>
      <w:r>
        <w:rPr>
          <w:rFonts w:hint="eastAsia" w:ascii="仿宋_GB2312" w:hAnsi="Calibri" w:eastAsia="仿宋_GB2312" w:cs="仿宋"/>
          <w:sz w:val="28"/>
          <w:szCs w:val="28"/>
          <w:highlight w:val="none"/>
        </w:rPr>
        <w:t>根据实际工程量，每</w:t>
      </w:r>
      <w:r>
        <w:rPr>
          <w:rFonts w:hint="eastAsia" w:ascii="仿宋_GB2312" w:hAnsi="Calibri" w:eastAsia="仿宋_GB2312" w:cs="仿宋"/>
          <w:sz w:val="28"/>
          <w:szCs w:val="28"/>
          <w:highlight w:val="none"/>
          <w:lang w:val="en-US" w:eastAsia="zh-CN"/>
        </w:rPr>
        <w:t>季度</w:t>
      </w:r>
      <w:r>
        <w:rPr>
          <w:rFonts w:hint="eastAsia" w:ascii="仿宋_GB2312" w:hAnsi="Calibri" w:eastAsia="仿宋_GB2312" w:cs="仿宋"/>
          <w:sz w:val="28"/>
          <w:szCs w:val="28"/>
          <w:highlight w:val="none"/>
        </w:rPr>
        <w:t>结算一次，</w:t>
      </w:r>
      <w:r>
        <w:rPr>
          <w:rFonts w:hint="eastAsia" w:ascii="仿宋_GB2312" w:hAnsi="Calibri" w:eastAsia="仿宋_GB2312" w:cs="仿宋"/>
          <w:sz w:val="28"/>
          <w:szCs w:val="28"/>
          <w:highlight w:val="none"/>
          <w:lang w:val="en-US" w:eastAsia="zh-CN"/>
        </w:rPr>
        <w:t>双方验收合格（维修确认单）并</w:t>
      </w:r>
      <w:r>
        <w:rPr>
          <w:rFonts w:hint="eastAsia" w:ascii="仿宋_GB2312" w:hAnsi="Calibri" w:eastAsia="仿宋_GB2312" w:cs="仿宋"/>
          <w:sz w:val="28"/>
          <w:szCs w:val="28"/>
          <w:highlight w:val="none"/>
        </w:rPr>
        <w:t>甲方收到全额增值税专用发票后</w:t>
      </w:r>
      <w:r>
        <w:rPr>
          <w:rFonts w:hint="eastAsia" w:ascii="仿宋_GB2312" w:hAnsi="Calibri" w:eastAsia="仿宋_GB2312" w:cs="仿宋"/>
          <w:sz w:val="28"/>
          <w:szCs w:val="28"/>
          <w:highlight w:val="none"/>
          <w:lang w:val="en-US" w:eastAsia="zh-CN"/>
        </w:rPr>
        <w:t>30</w:t>
      </w:r>
      <w:r>
        <w:rPr>
          <w:rFonts w:hint="eastAsia" w:ascii="仿宋_GB2312" w:hAnsi="Calibri" w:eastAsia="仿宋_GB2312" w:cs="仿宋"/>
          <w:sz w:val="28"/>
          <w:szCs w:val="28"/>
          <w:highlight w:val="none"/>
        </w:rPr>
        <w:t>个工作日内支付。</w:t>
      </w:r>
    </w:p>
    <w:p w14:paraId="207F6A02">
      <w:pPr>
        <w:shd w:val="clear"/>
        <w:spacing w:line="420" w:lineRule="exact"/>
        <w:ind w:firstLine="560" w:firstLineChars="200"/>
        <w:rPr>
          <w:rFonts w:hint="eastAsia" w:ascii="仿宋_GB2312" w:eastAsia="仿宋_GB2312" w:cs="仿宋"/>
          <w:sz w:val="28"/>
          <w:szCs w:val="28"/>
          <w:highlight w:val="none"/>
        </w:rPr>
      </w:pPr>
      <w:r>
        <w:rPr>
          <w:rFonts w:hint="eastAsia" w:ascii="仿宋_GB2312" w:eastAsia="仿宋_GB2312" w:cs="仿宋"/>
          <w:sz w:val="28"/>
          <w:szCs w:val="28"/>
          <w:highlight w:val="none"/>
          <w:lang w:val="en-US" w:eastAsia="zh-CN"/>
        </w:rPr>
        <w:t>4</w:t>
      </w:r>
      <w:r>
        <w:rPr>
          <w:rFonts w:hint="eastAsia" w:ascii="仿宋_GB2312" w:eastAsia="仿宋_GB2312" w:cs="仿宋"/>
          <w:sz w:val="28"/>
          <w:szCs w:val="28"/>
          <w:highlight w:val="none"/>
          <w:lang w:eastAsia="zh-CN"/>
        </w:rPr>
        <w:t>、</w:t>
      </w:r>
      <w:r>
        <w:rPr>
          <w:rFonts w:hint="eastAsia" w:ascii="仿宋_GB2312" w:eastAsia="仿宋_GB2312" w:cs="仿宋"/>
          <w:sz w:val="28"/>
          <w:szCs w:val="28"/>
          <w:highlight w:val="none"/>
        </w:rPr>
        <w:t>关于开具增值税专用发票的要求：</w:t>
      </w:r>
    </w:p>
    <w:p w14:paraId="5D0F1BDC">
      <w:pPr>
        <w:shd w:val="clear"/>
        <w:snapToGrid w:val="0"/>
        <w:spacing w:line="420" w:lineRule="exact"/>
        <w:ind w:firstLine="480"/>
        <w:rPr>
          <w:rFonts w:hint="eastAsia" w:ascii="仿宋_GB2312" w:eastAsia="仿宋_GB2312" w:cs="仿宋"/>
          <w:sz w:val="28"/>
          <w:szCs w:val="28"/>
          <w:highlight w:val="none"/>
        </w:rPr>
      </w:pPr>
      <w:r>
        <w:rPr>
          <w:rFonts w:hint="eastAsia" w:ascii="仿宋_GB2312" w:eastAsia="仿宋_GB2312" w:cs="仿宋"/>
          <w:sz w:val="28"/>
          <w:szCs w:val="28"/>
          <w:highlight w:val="none"/>
        </w:rPr>
        <w:t>（1）甲方向乙方支付合同价款前，乙方应向甲方开具增值税专用发票，否则，甲方有权拒绝付款并顺延付款时间。因乙方开具的发票不规范、不合法或涉嫌虚开发票引起税务问题的，乙方需依法向甲方重新开具发票，并向甲方承担赔偿责任。</w:t>
      </w:r>
    </w:p>
    <w:p w14:paraId="0E149EAE">
      <w:pPr>
        <w:shd w:val="clear"/>
        <w:snapToGrid w:val="0"/>
        <w:spacing w:line="420" w:lineRule="exact"/>
        <w:ind w:firstLine="480"/>
        <w:rPr>
          <w:rFonts w:hint="eastAsia" w:ascii="仿宋_GB2312" w:eastAsia="仿宋_GB2312" w:cs="仿宋"/>
          <w:sz w:val="28"/>
          <w:szCs w:val="28"/>
          <w:highlight w:val="none"/>
        </w:rPr>
      </w:pPr>
      <w:r>
        <w:rPr>
          <w:rFonts w:hint="eastAsia" w:ascii="仿宋_GB2312" w:eastAsia="仿宋_GB2312" w:cs="仿宋"/>
          <w:sz w:val="28"/>
          <w:szCs w:val="28"/>
          <w:highlight w:val="none"/>
        </w:rPr>
        <w:t>（2）乙方应按照甲方要求，及时向甲方开具可以抵扣税款的增值税专用发票。因乙方开具发票不及时给甲方造成无法及时认证、抵扣发票等情形的，乙方需向甲方承担赔偿责任。</w:t>
      </w:r>
    </w:p>
    <w:p w14:paraId="5E635308">
      <w:pPr>
        <w:shd w:val="clear"/>
        <w:snapToGrid w:val="0"/>
        <w:spacing w:line="420" w:lineRule="exact"/>
        <w:ind w:firstLine="480"/>
        <w:rPr>
          <w:rFonts w:hint="eastAsia" w:ascii="仿宋_GB2312" w:eastAsia="仿宋_GB2312" w:cs="仿宋"/>
          <w:sz w:val="28"/>
          <w:szCs w:val="28"/>
          <w:highlight w:val="none"/>
        </w:rPr>
      </w:pPr>
      <w:r>
        <w:rPr>
          <w:rFonts w:hint="eastAsia" w:ascii="仿宋_GB2312" w:eastAsia="仿宋_GB2312" w:cs="仿宋"/>
          <w:sz w:val="28"/>
          <w:szCs w:val="28"/>
          <w:highlight w:val="none"/>
        </w:rPr>
        <w:t>（3）乙方向甲方开具的增值税专用发票，乙方必须确保发票票面信息全部真实，相关货物、价款等内容与本合同相一致。因发票票面信息有误导致发票不能抵扣税款或者被认定为虚开的，乙方需向甲方承担赔偿责任。</w:t>
      </w:r>
    </w:p>
    <w:p w14:paraId="5014BA92">
      <w:pPr>
        <w:shd w:val="clear"/>
        <w:snapToGrid w:val="0"/>
        <w:spacing w:line="420" w:lineRule="exact"/>
        <w:ind w:firstLine="480"/>
        <w:rPr>
          <w:rFonts w:hint="eastAsia" w:ascii="仿宋_GB2312" w:eastAsia="仿宋_GB2312" w:cs="仿宋"/>
          <w:sz w:val="28"/>
          <w:szCs w:val="28"/>
          <w:highlight w:val="none"/>
        </w:rPr>
      </w:pPr>
      <w:r>
        <w:rPr>
          <w:rFonts w:hint="eastAsia" w:ascii="仿宋_GB2312" w:eastAsia="仿宋_GB2312" w:cs="仿宋"/>
          <w:sz w:val="28"/>
          <w:szCs w:val="28"/>
          <w:highlight w:val="none"/>
        </w:rPr>
        <w:t>（4）乙方收取价外费用的，需依法开具增值税专用发票。</w:t>
      </w:r>
    </w:p>
    <w:p w14:paraId="6003D93F">
      <w:pPr>
        <w:shd w:val="clear"/>
        <w:snapToGrid w:val="0"/>
        <w:spacing w:line="420" w:lineRule="exact"/>
        <w:ind w:firstLine="480"/>
        <w:rPr>
          <w:rFonts w:hint="eastAsia" w:ascii="仿宋_GB2312" w:eastAsia="仿宋_GB2312" w:cs="仿宋"/>
          <w:sz w:val="28"/>
          <w:szCs w:val="28"/>
          <w:highlight w:val="none"/>
        </w:rPr>
      </w:pPr>
      <w:r>
        <w:rPr>
          <w:rFonts w:hint="eastAsia" w:ascii="仿宋_GB2312" w:eastAsia="仿宋_GB2312" w:cs="仿宋"/>
          <w:sz w:val="28"/>
          <w:szCs w:val="28"/>
          <w:highlight w:val="none"/>
        </w:rPr>
        <w:t>（5）甲方增值税专用发票信息如下：</w:t>
      </w:r>
    </w:p>
    <w:p w14:paraId="1B86CB46">
      <w:pPr>
        <w:shd w:val="clear"/>
        <w:snapToGrid w:val="0"/>
        <w:spacing w:line="420" w:lineRule="exact"/>
        <w:ind w:firstLine="480"/>
        <w:rPr>
          <w:rFonts w:hint="eastAsia" w:ascii="仿宋_GB2312" w:eastAsia="仿宋_GB2312" w:cs="仿宋"/>
          <w:sz w:val="28"/>
          <w:szCs w:val="28"/>
          <w:highlight w:val="none"/>
        </w:rPr>
      </w:pPr>
      <w:bookmarkStart w:id="225" w:name="_Toc507025407"/>
      <w:r>
        <w:rPr>
          <w:rFonts w:hint="eastAsia" w:ascii="仿宋_GB2312" w:eastAsia="仿宋_GB2312" w:cs="仿宋"/>
          <w:sz w:val="28"/>
          <w:szCs w:val="28"/>
          <w:highlight w:val="none"/>
        </w:rPr>
        <w:t>单位名称：山东济钢环保新材料有限公司</w:t>
      </w:r>
    </w:p>
    <w:p w14:paraId="054CDEE5">
      <w:pPr>
        <w:shd w:val="clear"/>
        <w:snapToGrid w:val="0"/>
        <w:spacing w:line="420" w:lineRule="exact"/>
        <w:ind w:firstLine="480"/>
        <w:rPr>
          <w:rFonts w:hint="eastAsia" w:ascii="仿宋_GB2312" w:eastAsia="仿宋_GB2312" w:cs="仿宋"/>
          <w:sz w:val="28"/>
          <w:szCs w:val="28"/>
          <w:highlight w:val="none"/>
        </w:rPr>
      </w:pPr>
      <w:r>
        <w:rPr>
          <w:rFonts w:hint="eastAsia" w:ascii="仿宋_GB2312" w:eastAsia="仿宋_GB2312" w:cs="仿宋"/>
          <w:sz w:val="28"/>
          <w:szCs w:val="28"/>
          <w:highlight w:val="none"/>
        </w:rPr>
        <w:t>纳税人识别号：91370181MA3MJQRU4Y</w:t>
      </w:r>
    </w:p>
    <w:p w14:paraId="3FA21148">
      <w:pPr>
        <w:shd w:val="clear"/>
        <w:snapToGrid w:val="0"/>
        <w:spacing w:line="420" w:lineRule="exact"/>
        <w:ind w:firstLine="480"/>
        <w:rPr>
          <w:rFonts w:hint="eastAsia" w:ascii="仿宋_GB2312" w:eastAsia="仿宋_GB2312" w:cs="仿宋"/>
          <w:sz w:val="28"/>
          <w:szCs w:val="28"/>
          <w:highlight w:val="none"/>
        </w:rPr>
      </w:pPr>
      <w:r>
        <w:rPr>
          <w:rFonts w:hint="eastAsia" w:ascii="仿宋_GB2312" w:eastAsia="仿宋_GB2312" w:cs="仿宋"/>
          <w:sz w:val="28"/>
          <w:szCs w:val="28"/>
          <w:highlight w:val="none"/>
        </w:rPr>
        <w:t>开户行：中国民生银行济南章丘支行</w:t>
      </w:r>
    </w:p>
    <w:p w14:paraId="473DC215">
      <w:pPr>
        <w:shd w:val="clear"/>
        <w:snapToGrid w:val="0"/>
        <w:spacing w:line="420" w:lineRule="exact"/>
        <w:ind w:firstLine="480"/>
        <w:rPr>
          <w:rFonts w:hint="eastAsia" w:ascii="仿宋_GB2312" w:eastAsia="仿宋_GB2312" w:cs="仿宋"/>
          <w:sz w:val="28"/>
          <w:szCs w:val="28"/>
          <w:highlight w:val="none"/>
        </w:rPr>
      </w:pPr>
      <w:r>
        <w:rPr>
          <w:rFonts w:hint="eastAsia" w:ascii="仿宋_GB2312" w:eastAsia="仿宋_GB2312" w:cs="仿宋"/>
          <w:sz w:val="28"/>
          <w:szCs w:val="28"/>
          <w:highlight w:val="none"/>
        </w:rPr>
        <w:t>账号：609055119</w:t>
      </w:r>
    </w:p>
    <w:p w14:paraId="0C733B4B">
      <w:pPr>
        <w:shd w:val="clear"/>
        <w:snapToGrid w:val="0"/>
        <w:spacing w:line="420" w:lineRule="exact"/>
        <w:ind w:firstLine="480"/>
        <w:rPr>
          <w:rFonts w:hint="eastAsia" w:ascii="仿宋_GB2312" w:eastAsia="仿宋_GB2312" w:cs="仿宋"/>
          <w:sz w:val="28"/>
          <w:szCs w:val="28"/>
          <w:highlight w:val="none"/>
        </w:rPr>
      </w:pPr>
      <w:r>
        <w:rPr>
          <w:rFonts w:hint="eastAsia" w:ascii="仿宋_GB2312" w:eastAsia="仿宋_GB2312" w:cs="仿宋"/>
          <w:sz w:val="28"/>
          <w:szCs w:val="28"/>
          <w:highlight w:val="none"/>
        </w:rPr>
        <w:t>地址： 山东省济南市章丘区官庄街道青野村东</w:t>
      </w:r>
    </w:p>
    <w:p w14:paraId="37923749">
      <w:pPr>
        <w:shd w:val="clear"/>
        <w:snapToGrid w:val="0"/>
        <w:spacing w:line="420" w:lineRule="exact"/>
        <w:ind w:firstLine="480"/>
        <w:rPr>
          <w:rFonts w:hint="eastAsia" w:ascii="仿宋_GB2312" w:eastAsia="仿宋_GB2312" w:cs="仿宋"/>
          <w:sz w:val="28"/>
          <w:szCs w:val="28"/>
          <w:highlight w:val="none"/>
        </w:rPr>
      </w:pPr>
      <w:r>
        <w:rPr>
          <w:rFonts w:hint="eastAsia" w:ascii="仿宋_GB2312" w:eastAsia="仿宋_GB2312" w:cs="仿宋"/>
          <w:sz w:val="28"/>
          <w:szCs w:val="28"/>
          <w:highlight w:val="none"/>
        </w:rPr>
        <w:t>电话：0531-83790165</w:t>
      </w:r>
    </w:p>
    <w:p w14:paraId="25941C6B">
      <w:pPr>
        <w:pStyle w:val="59"/>
        <w:numPr>
          <w:ilvl w:val="0"/>
          <w:numId w:val="3"/>
        </w:numPr>
        <w:shd w:val="clear"/>
        <w:spacing w:line="420" w:lineRule="exact"/>
        <w:ind w:left="851" w:leftChars="0" w:hanging="851" w:firstLineChars="0"/>
        <w:outlineLvl w:val="0"/>
        <w:rPr>
          <w:rFonts w:hint="eastAsia" w:ascii="仿宋_GB2312" w:eastAsia="仿宋_GB2312"/>
          <w:sz w:val="28"/>
          <w:szCs w:val="28"/>
          <w:highlight w:val="none"/>
          <w:lang w:val="en-US" w:eastAsia="zh-CN"/>
        </w:rPr>
      </w:pPr>
      <w:bookmarkStart w:id="226" w:name="_Toc16897"/>
      <w:bookmarkStart w:id="227" w:name="_Toc521503317"/>
      <w:r>
        <w:rPr>
          <w:rFonts w:hint="eastAsia" w:ascii="仿宋_GB2312" w:eastAsia="仿宋_GB2312"/>
          <w:sz w:val="28"/>
          <w:szCs w:val="28"/>
          <w:highlight w:val="none"/>
          <w:lang w:val="en-US" w:eastAsia="zh-CN"/>
        </w:rPr>
        <w:t>技术约定</w:t>
      </w:r>
      <w:bookmarkEnd w:id="226"/>
    </w:p>
    <w:p w14:paraId="331DF373">
      <w:pPr>
        <w:numPr>
          <w:ilvl w:val="0"/>
          <w:numId w:val="4"/>
        </w:numPr>
        <w:shd w:val="clear"/>
        <w:spacing w:line="400" w:lineRule="exact"/>
        <w:ind w:left="0" w:leftChars="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甲方负责电机拆电源线、电机拆除、起吊、安装找正、接线等工作</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协助乙方在甲方驻地装卸需要维保的电机或水泵。</w:t>
      </w:r>
    </w:p>
    <w:p w14:paraId="7C0BBB85">
      <w:pPr>
        <w:numPr>
          <w:ilvl w:val="0"/>
          <w:numId w:val="4"/>
        </w:numPr>
        <w:shd w:val="clear"/>
        <w:spacing w:line="400" w:lineRule="exact"/>
        <w:ind w:left="0" w:leftChars="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zh-CN"/>
        </w:rPr>
        <w:t>电机保养</w:t>
      </w:r>
      <w:r>
        <w:rPr>
          <w:rFonts w:hint="eastAsia" w:ascii="仿宋_GB2312" w:hAnsi="仿宋_GB2312" w:eastAsia="仿宋_GB2312" w:cs="仿宋_GB2312"/>
          <w:color w:val="000000"/>
          <w:sz w:val="28"/>
          <w:szCs w:val="28"/>
          <w:highlight w:val="none"/>
        </w:rPr>
        <w:t>方式</w:t>
      </w:r>
      <w:r>
        <w:rPr>
          <w:rFonts w:hint="eastAsia" w:ascii="仿宋_GB2312" w:hAnsi="仿宋_GB2312" w:eastAsia="仿宋_GB2312" w:cs="仿宋_GB2312"/>
          <w:color w:val="000000"/>
          <w:sz w:val="28"/>
          <w:szCs w:val="28"/>
          <w:highlight w:val="none"/>
          <w:lang w:val="zh-CN"/>
        </w:rPr>
        <w:t>为</w:t>
      </w:r>
      <w:r>
        <w:rPr>
          <w:rFonts w:hint="eastAsia" w:ascii="仿宋_GB2312" w:hAnsi="仿宋_GB2312" w:eastAsia="仿宋_GB2312" w:cs="仿宋_GB2312"/>
          <w:color w:val="000000"/>
          <w:sz w:val="28"/>
          <w:szCs w:val="28"/>
          <w:highlight w:val="none"/>
        </w:rPr>
        <w:t>拉回中标单位保养</w:t>
      </w:r>
      <w:r>
        <w:rPr>
          <w:rFonts w:hint="eastAsia" w:ascii="仿宋_GB2312" w:hAnsi="仿宋_GB2312" w:eastAsia="仿宋_GB2312" w:cs="仿宋_GB2312"/>
          <w:color w:val="000000"/>
          <w:sz w:val="28"/>
          <w:szCs w:val="28"/>
          <w:highlight w:val="none"/>
          <w:lang w:val="zh-CN"/>
        </w:rPr>
        <w:t>，保养范围为：</w:t>
      </w:r>
      <w:r>
        <w:rPr>
          <w:rFonts w:hint="eastAsia" w:ascii="仿宋_GB2312" w:hAnsi="仿宋_GB2312" w:eastAsia="仿宋_GB2312" w:cs="仿宋_GB2312"/>
          <w:color w:val="000000"/>
          <w:sz w:val="28"/>
          <w:szCs w:val="28"/>
          <w:highlight w:val="none"/>
          <w:lang w:val="en-US" w:eastAsia="zh-CN"/>
        </w:rPr>
        <w:t>电机机壳</w:t>
      </w:r>
      <w:r>
        <w:rPr>
          <w:rFonts w:hint="eastAsia" w:ascii="仿宋_GB2312" w:hAnsi="仿宋_GB2312" w:eastAsia="仿宋_GB2312" w:cs="仿宋_GB2312"/>
          <w:color w:val="000000"/>
          <w:sz w:val="28"/>
          <w:szCs w:val="28"/>
          <w:highlight w:val="none"/>
          <w:lang w:val="zh-CN"/>
        </w:rPr>
        <w:t>无加油孔的电机。</w:t>
      </w:r>
    </w:p>
    <w:p w14:paraId="4BF44107">
      <w:pPr>
        <w:numPr>
          <w:ilvl w:val="0"/>
          <w:numId w:val="4"/>
        </w:numPr>
        <w:shd w:val="clear"/>
        <w:spacing w:line="400" w:lineRule="exact"/>
        <w:ind w:left="0" w:leftChars="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依据电机修理的行业标准、甲方的技术标准，保证质量、按期完成电机</w:t>
      </w:r>
      <w:r>
        <w:rPr>
          <w:rFonts w:hint="eastAsia" w:ascii="仿宋_GB2312" w:hAnsi="仿宋_GB2312" w:eastAsia="仿宋_GB2312" w:cs="仿宋_GB2312"/>
          <w:color w:val="000000"/>
          <w:sz w:val="28"/>
          <w:szCs w:val="28"/>
          <w:highlight w:val="none"/>
          <w:lang w:val="en-US" w:eastAsia="zh-CN"/>
        </w:rPr>
        <w:t>维修保养工作</w:t>
      </w:r>
      <w:r>
        <w:rPr>
          <w:rFonts w:hint="eastAsia" w:ascii="仿宋_GB2312" w:hAnsi="仿宋_GB2312" w:eastAsia="仿宋_GB2312" w:cs="仿宋_GB2312"/>
          <w:color w:val="000000"/>
          <w:sz w:val="28"/>
          <w:szCs w:val="28"/>
          <w:highlight w:val="none"/>
        </w:rPr>
        <w:t>。</w:t>
      </w:r>
    </w:p>
    <w:p w14:paraId="7F3A2D2B">
      <w:pPr>
        <w:numPr>
          <w:ilvl w:val="0"/>
          <w:numId w:val="4"/>
        </w:numPr>
        <w:shd w:val="clear"/>
        <w:spacing w:line="400" w:lineRule="exact"/>
        <w:ind w:left="0" w:leftChars="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接到电机修理通知后</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24小时内</w:t>
      </w:r>
      <w:r>
        <w:rPr>
          <w:rFonts w:hint="eastAsia" w:ascii="仿宋_GB2312" w:hAnsi="仿宋_GB2312" w:eastAsia="仿宋_GB2312" w:cs="仿宋_GB2312"/>
          <w:color w:val="auto"/>
          <w:sz w:val="28"/>
          <w:szCs w:val="28"/>
          <w:highlight w:val="none"/>
        </w:rPr>
        <w:t>到甲方电机安装或指定地点将电机拉走，修理完毕后</w:t>
      </w:r>
      <w:r>
        <w:rPr>
          <w:rFonts w:hint="eastAsia" w:ascii="仿宋_GB2312" w:hAnsi="仿宋_GB2312" w:eastAsia="仿宋_GB2312" w:cs="仿宋_GB2312"/>
          <w:color w:val="auto"/>
          <w:sz w:val="28"/>
          <w:szCs w:val="28"/>
          <w:highlight w:val="none"/>
          <w:lang w:val="en-US" w:eastAsia="zh-CN"/>
        </w:rPr>
        <w:t>悬挂维修时间标牌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及</w:t>
      </w:r>
      <w:r>
        <w:rPr>
          <w:rFonts w:hint="eastAsia" w:ascii="仿宋_GB2312" w:hAnsi="仿宋_GB2312" w:eastAsia="仿宋_GB2312" w:cs="仿宋_GB2312"/>
          <w:color w:val="000000"/>
          <w:sz w:val="28"/>
          <w:szCs w:val="28"/>
          <w:highlight w:val="none"/>
        </w:rPr>
        <w:t>时送至指定的电机安装或存放地点</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同时提供维修试验报告</w:t>
      </w:r>
      <w:r>
        <w:rPr>
          <w:rFonts w:hint="eastAsia" w:ascii="仿宋_GB2312" w:hAnsi="仿宋_GB2312" w:eastAsia="仿宋_GB2312" w:cs="仿宋_GB2312"/>
          <w:color w:val="000000"/>
          <w:sz w:val="28"/>
          <w:szCs w:val="28"/>
          <w:highlight w:val="none"/>
        </w:rPr>
        <w:t>。</w:t>
      </w:r>
    </w:p>
    <w:p w14:paraId="03A530E2">
      <w:pPr>
        <w:numPr>
          <w:ilvl w:val="0"/>
          <w:numId w:val="4"/>
        </w:numPr>
        <w:shd w:val="clear"/>
        <w:spacing w:line="400" w:lineRule="exact"/>
        <w:ind w:left="0" w:leftChars="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电机维修应在</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日内完成，如遇甲方紧急抢修时，</w:t>
      </w:r>
      <w:r>
        <w:rPr>
          <w:rFonts w:hint="eastAsia" w:ascii="仿宋_GB2312" w:hAnsi="仿宋_GB2312" w:eastAsia="仿宋_GB2312" w:cs="仿宋_GB2312"/>
          <w:color w:val="000000"/>
          <w:sz w:val="28"/>
          <w:szCs w:val="28"/>
          <w:highlight w:val="none"/>
          <w:lang w:val="en-US" w:eastAsia="zh-CN"/>
        </w:rPr>
        <w:t>乙方</w:t>
      </w:r>
      <w:r>
        <w:rPr>
          <w:rFonts w:hint="eastAsia" w:ascii="仿宋_GB2312" w:hAnsi="仿宋_GB2312" w:eastAsia="仿宋_GB2312" w:cs="仿宋_GB2312"/>
          <w:color w:val="000000"/>
          <w:sz w:val="28"/>
          <w:szCs w:val="28"/>
          <w:highlight w:val="none"/>
        </w:rPr>
        <w:t>保证24小时不间断维修，尽早完成维修工作。</w:t>
      </w:r>
    </w:p>
    <w:p w14:paraId="55F7D0ED">
      <w:pPr>
        <w:numPr>
          <w:ilvl w:val="0"/>
          <w:numId w:val="4"/>
        </w:numPr>
        <w:shd w:val="clear"/>
        <w:spacing w:line="400" w:lineRule="exact"/>
        <w:ind w:left="0" w:leftChars="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在更换定子线圈时，线圈应为铜质线圈，材料满足国家技术标准，乙方对线圈的匝间、相间、对地绝缘试验必须按电机线圈所要求的国家行业标准等级进行试验</w:t>
      </w:r>
      <w:r>
        <w:rPr>
          <w:rFonts w:hint="eastAsia" w:ascii="仿宋_GB2312" w:hAnsi="仿宋_GB2312" w:eastAsia="仿宋_GB2312" w:cs="仿宋_GB2312"/>
          <w:color w:val="000000"/>
          <w:sz w:val="28"/>
          <w:szCs w:val="28"/>
          <w:highlight w:val="none"/>
          <w:lang w:val="en-US" w:eastAsia="zh-CN"/>
        </w:rPr>
        <w:t>并出具实验测试报告</w:t>
      </w:r>
      <w:r>
        <w:rPr>
          <w:rFonts w:hint="eastAsia" w:ascii="仿宋_GB2312" w:hAnsi="仿宋_GB2312" w:eastAsia="仿宋_GB2312" w:cs="仿宋_GB2312"/>
          <w:color w:val="000000"/>
          <w:sz w:val="28"/>
          <w:szCs w:val="28"/>
          <w:highlight w:val="none"/>
        </w:rPr>
        <w:t>，以确保线圈下线后的质量要求，不得随意更改原装线圈线径的尺寸，电机所用的材料属国家正品生产厂出品的合格产品。</w:t>
      </w:r>
    </w:p>
    <w:p w14:paraId="32276E1A">
      <w:pPr>
        <w:numPr>
          <w:ilvl w:val="0"/>
          <w:numId w:val="4"/>
        </w:numPr>
        <w:shd w:val="clear"/>
        <w:spacing w:line="400" w:lineRule="exact"/>
        <w:ind w:left="0" w:leftChars="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潜水泵电机的检修包括电机的检修、更换防护等级IP68及以上的密封（密封性必须达到原厂家出厂要求）。考虑到外接电缆时的密封防水要求，潜水泵电机在修理时，必须包括将电机引线用足够功率的引线引出电缆</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长度不低于设备长度的2倍</w:t>
      </w:r>
      <w:r>
        <w:rPr>
          <w:rFonts w:hint="eastAsia" w:ascii="仿宋_GB2312" w:hAnsi="仿宋_GB2312" w:eastAsia="仿宋_GB2312" w:cs="仿宋_GB2312"/>
          <w:color w:val="000000"/>
          <w:sz w:val="28"/>
          <w:szCs w:val="28"/>
          <w:highlight w:val="none"/>
        </w:rPr>
        <w:t>。</w:t>
      </w:r>
    </w:p>
    <w:p w14:paraId="1A25FEE9">
      <w:pPr>
        <w:numPr>
          <w:ilvl w:val="0"/>
          <w:numId w:val="4"/>
        </w:numPr>
        <w:shd w:val="clear"/>
        <w:spacing w:line="400" w:lineRule="exact"/>
        <w:ind w:left="0" w:leftChars="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电机、潜水泵修理后，设备外壳必须清理如新</w:t>
      </w:r>
      <w:r>
        <w:rPr>
          <w:rFonts w:hint="eastAsia" w:ascii="仿宋_GB2312" w:hAnsi="仿宋_GB2312" w:eastAsia="仿宋_GB2312" w:cs="仿宋_GB2312"/>
          <w:color w:val="000000"/>
          <w:sz w:val="28"/>
          <w:szCs w:val="28"/>
          <w:highlight w:val="none"/>
          <w:lang w:val="en-US" w:eastAsia="zh-CN"/>
        </w:rPr>
        <w:t>或重新喷漆</w:t>
      </w:r>
      <w:r>
        <w:rPr>
          <w:rFonts w:hint="eastAsia" w:ascii="仿宋_GB2312" w:hAnsi="仿宋_GB2312" w:eastAsia="仿宋_GB2312" w:cs="仿宋_GB2312"/>
          <w:color w:val="000000"/>
          <w:sz w:val="28"/>
          <w:szCs w:val="28"/>
          <w:highlight w:val="none"/>
        </w:rPr>
        <w:t>。</w:t>
      </w:r>
    </w:p>
    <w:p w14:paraId="0E855075">
      <w:pPr>
        <w:numPr>
          <w:ilvl w:val="0"/>
          <w:numId w:val="4"/>
        </w:numPr>
        <w:shd w:val="clear"/>
        <w:spacing w:line="400" w:lineRule="exact"/>
        <w:ind w:left="0" w:leftChars="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15KW及以上电机与二级以上电机绝缘纸、高阻带、低阻带、浸漆工艺等绝缘材料采用</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品牌；轴承选用</w:t>
      </w:r>
      <w:r>
        <w:rPr>
          <w:rFonts w:hint="eastAsia" w:ascii="仿宋_GB2312" w:hAnsi="仿宋_GB2312" w:eastAsia="仿宋_GB2312" w:cs="仿宋_GB2312"/>
          <w:b w:val="0"/>
          <w:bCs w:val="0"/>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品牌轴承。</w:t>
      </w:r>
    </w:p>
    <w:p w14:paraId="53434F43">
      <w:pPr>
        <w:numPr>
          <w:ilvl w:val="0"/>
          <w:numId w:val="4"/>
        </w:numPr>
        <w:shd w:val="clear"/>
        <w:spacing w:line="400" w:lineRule="exact"/>
        <w:ind w:left="0" w:leftChars="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电机维修后绝缘等级及防护等级应同原铭牌保持一致，经过静态试验测试合格，电机温升符合国家标准，空载电流不大于厂家出厂技术标准。</w:t>
      </w:r>
    </w:p>
    <w:p w14:paraId="6831C46D">
      <w:pPr>
        <w:numPr>
          <w:ilvl w:val="0"/>
          <w:numId w:val="4"/>
        </w:numPr>
        <w:shd w:val="clear"/>
        <w:spacing w:line="400" w:lineRule="exact"/>
        <w:ind w:left="0" w:leftChars="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22kW及以上电机质保期为九个月，22kW以下电机质保期为六个月，在质保期内发生由于检修质量问题造成电机损坏的，由乙方负责免费重新修理</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质保期自交接验收合格日起算。</w:t>
      </w:r>
    </w:p>
    <w:p w14:paraId="68C98DB4">
      <w:pPr>
        <w:numPr>
          <w:ilvl w:val="0"/>
          <w:numId w:val="4"/>
        </w:numPr>
        <w:shd w:val="clear"/>
        <w:spacing w:line="400" w:lineRule="exact"/>
        <w:ind w:left="0" w:leftChars="0"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当发现甲方需要维修的电机为国家强制淘汰目录中的产品时，乙方应当提醒招标人进行淘汰，并不予修理。</w:t>
      </w:r>
    </w:p>
    <w:p w14:paraId="266AE638">
      <w:pPr>
        <w:numPr>
          <w:ilvl w:val="0"/>
          <w:numId w:val="4"/>
        </w:numPr>
        <w:shd w:val="clear"/>
        <w:spacing w:line="400" w:lineRule="exact"/>
        <w:ind w:left="0" w:leftChars="0"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电机维修后交付时需一并提供试验检测报告。</w:t>
      </w:r>
    </w:p>
    <w:p w14:paraId="7DDBF60B">
      <w:pPr>
        <w:pStyle w:val="59"/>
        <w:shd w:val="clear"/>
        <w:spacing w:line="420" w:lineRule="exact"/>
        <w:ind w:left="851" w:leftChars="0" w:hanging="851" w:firstLineChars="0"/>
        <w:outlineLvl w:val="0"/>
        <w:rPr>
          <w:rFonts w:hint="eastAsia" w:ascii="仿宋_GB2312" w:eastAsia="仿宋_GB2312"/>
          <w:sz w:val="28"/>
          <w:szCs w:val="28"/>
          <w:highlight w:val="none"/>
        </w:rPr>
      </w:pPr>
      <w:bookmarkStart w:id="228" w:name="_Toc28979"/>
      <w:r>
        <w:rPr>
          <w:rFonts w:hint="eastAsia" w:ascii="仿宋_GB2312" w:eastAsia="仿宋_GB2312"/>
          <w:sz w:val="28"/>
          <w:szCs w:val="28"/>
          <w:highlight w:val="none"/>
          <w:lang w:val="en-US" w:eastAsia="zh-CN"/>
        </w:rPr>
        <w:t>四、</w:t>
      </w:r>
      <w:r>
        <w:rPr>
          <w:rFonts w:hint="eastAsia" w:ascii="仿宋_GB2312" w:eastAsia="仿宋_GB2312"/>
          <w:sz w:val="28"/>
          <w:szCs w:val="28"/>
          <w:highlight w:val="none"/>
        </w:rPr>
        <w:t>安全责任</w:t>
      </w:r>
      <w:bookmarkEnd w:id="228"/>
    </w:p>
    <w:p w14:paraId="5A59D9FD">
      <w:pPr>
        <w:pStyle w:val="59"/>
        <w:shd w:val="clear"/>
        <w:spacing w:line="420" w:lineRule="exact"/>
        <w:ind w:left="120" w:leftChars="50" w:firstLine="560" w:firstLineChars="200"/>
        <w:outlineLvl w:val="9"/>
        <w:rPr>
          <w:rFonts w:hint="eastAsia" w:ascii="仿宋_GB2312" w:eastAsia="仿宋_GB2312" w:cs="仿宋"/>
          <w:b w:val="0"/>
          <w:sz w:val="28"/>
          <w:szCs w:val="28"/>
          <w:highlight w:val="none"/>
        </w:rPr>
      </w:pPr>
      <w:r>
        <w:rPr>
          <w:rFonts w:hint="eastAsia" w:ascii="仿宋_GB2312" w:eastAsia="仿宋_GB2312" w:cs="仿宋"/>
          <w:b w:val="0"/>
          <w:sz w:val="28"/>
          <w:szCs w:val="28"/>
          <w:highlight w:val="none"/>
        </w:rPr>
        <w:t>1</w:t>
      </w:r>
      <w:r>
        <w:rPr>
          <w:rFonts w:hint="eastAsia" w:ascii="仿宋_GB2312" w:eastAsia="仿宋_GB2312" w:cs="仿宋"/>
          <w:b w:val="0"/>
          <w:sz w:val="28"/>
          <w:szCs w:val="28"/>
          <w:highlight w:val="none"/>
          <w:lang w:eastAsia="zh-CN"/>
        </w:rPr>
        <w:t>、</w:t>
      </w:r>
      <w:r>
        <w:rPr>
          <w:rFonts w:hint="eastAsia" w:ascii="仿宋_GB2312" w:eastAsia="仿宋_GB2312" w:cs="仿宋"/>
          <w:b w:val="0"/>
          <w:sz w:val="28"/>
          <w:szCs w:val="28"/>
          <w:highlight w:val="none"/>
        </w:rPr>
        <w:t>进入甲方施工现场，穿戴好劳动防护用品，听从甲方管理人员的指挥。对于不按规定穿戴劳动防护用品，不听从甲方安全管理人员的指挥造成的安全事故，由乙方承担全部责任。</w:t>
      </w:r>
    </w:p>
    <w:p w14:paraId="5E4C66EC">
      <w:pPr>
        <w:pStyle w:val="59"/>
        <w:shd w:val="clear"/>
        <w:spacing w:line="420" w:lineRule="exact"/>
        <w:ind w:left="120" w:leftChars="50" w:firstLine="560" w:firstLineChars="200"/>
        <w:outlineLvl w:val="9"/>
        <w:rPr>
          <w:rFonts w:hint="eastAsia" w:ascii="仿宋_GB2312" w:eastAsia="仿宋_GB2312" w:cs="仿宋"/>
          <w:b w:val="0"/>
          <w:sz w:val="28"/>
          <w:szCs w:val="28"/>
          <w:highlight w:val="none"/>
        </w:rPr>
      </w:pPr>
      <w:r>
        <w:rPr>
          <w:rFonts w:hint="eastAsia" w:ascii="仿宋_GB2312" w:eastAsia="仿宋_GB2312" w:cs="仿宋"/>
          <w:b w:val="0"/>
          <w:sz w:val="28"/>
          <w:szCs w:val="28"/>
          <w:highlight w:val="none"/>
        </w:rPr>
        <w:t>2</w:t>
      </w:r>
      <w:r>
        <w:rPr>
          <w:rFonts w:hint="eastAsia" w:ascii="仿宋_GB2312" w:eastAsia="仿宋_GB2312" w:cs="仿宋"/>
          <w:b w:val="0"/>
          <w:sz w:val="28"/>
          <w:szCs w:val="28"/>
          <w:highlight w:val="none"/>
          <w:lang w:eastAsia="zh-CN"/>
        </w:rPr>
        <w:t>、</w:t>
      </w:r>
      <w:r>
        <w:rPr>
          <w:rFonts w:hint="eastAsia" w:ascii="仿宋_GB2312" w:eastAsia="仿宋_GB2312" w:cs="仿宋"/>
          <w:b w:val="0"/>
          <w:sz w:val="28"/>
          <w:szCs w:val="28"/>
          <w:highlight w:val="none"/>
        </w:rPr>
        <w:t>禁止违章作业，由于违章作业造成的安全事故，由乙方承担全部责任。乙方有权拒绝甲方的违章指挥。</w:t>
      </w:r>
    </w:p>
    <w:p w14:paraId="7F8457D7">
      <w:pPr>
        <w:pStyle w:val="59"/>
        <w:shd w:val="clear"/>
        <w:spacing w:line="420" w:lineRule="exact"/>
        <w:ind w:left="120" w:leftChars="50" w:firstLine="560" w:firstLineChars="200"/>
        <w:outlineLvl w:val="9"/>
        <w:rPr>
          <w:rFonts w:hint="eastAsia" w:ascii="仿宋_GB2312" w:eastAsia="仿宋_GB2312" w:cs="仿宋"/>
          <w:b w:val="0"/>
          <w:sz w:val="28"/>
          <w:szCs w:val="28"/>
          <w:highlight w:val="none"/>
        </w:rPr>
      </w:pPr>
      <w:r>
        <w:rPr>
          <w:rFonts w:hint="eastAsia" w:ascii="仿宋_GB2312" w:eastAsia="仿宋_GB2312" w:cs="仿宋"/>
          <w:b w:val="0"/>
          <w:sz w:val="28"/>
          <w:szCs w:val="28"/>
          <w:highlight w:val="none"/>
        </w:rPr>
        <w:t>3</w:t>
      </w:r>
      <w:r>
        <w:rPr>
          <w:rFonts w:hint="eastAsia" w:ascii="仿宋_GB2312" w:eastAsia="仿宋_GB2312" w:cs="仿宋"/>
          <w:b w:val="0"/>
          <w:sz w:val="28"/>
          <w:szCs w:val="28"/>
          <w:highlight w:val="none"/>
          <w:lang w:eastAsia="zh-CN"/>
        </w:rPr>
        <w:t>、</w:t>
      </w:r>
      <w:r>
        <w:rPr>
          <w:rFonts w:hint="eastAsia" w:ascii="仿宋_GB2312" w:eastAsia="仿宋_GB2312" w:cs="仿宋"/>
          <w:b w:val="0"/>
          <w:sz w:val="28"/>
          <w:szCs w:val="28"/>
          <w:highlight w:val="none"/>
        </w:rPr>
        <w:t>乙方要严格按照安全操作规程操作，对违反安全操作规程造成的安全事故，由乙方承担全部责任。</w:t>
      </w:r>
    </w:p>
    <w:p w14:paraId="05FE851D">
      <w:pPr>
        <w:pStyle w:val="59"/>
        <w:shd w:val="clear"/>
        <w:spacing w:line="420" w:lineRule="exact"/>
        <w:ind w:left="120" w:leftChars="50" w:firstLine="560" w:firstLineChars="200"/>
        <w:outlineLvl w:val="9"/>
        <w:rPr>
          <w:rFonts w:hint="eastAsia" w:ascii="仿宋_GB2312" w:eastAsia="仿宋_GB2312" w:cs="仿宋"/>
          <w:b w:val="0"/>
          <w:sz w:val="28"/>
          <w:szCs w:val="28"/>
          <w:highlight w:val="none"/>
        </w:rPr>
      </w:pPr>
      <w:r>
        <w:rPr>
          <w:rFonts w:hint="eastAsia" w:ascii="仿宋_GB2312" w:eastAsia="仿宋_GB2312" w:cs="仿宋"/>
          <w:b w:val="0"/>
          <w:sz w:val="28"/>
          <w:szCs w:val="28"/>
          <w:highlight w:val="none"/>
        </w:rPr>
        <w:t>4</w:t>
      </w:r>
      <w:r>
        <w:rPr>
          <w:rFonts w:hint="eastAsia" w:ascii="仿宋_GB2312" w:eastAsia="仿宋_GB2312" w:cs="仿宋"/>
          <w:b w:val="0"/>
          <w:sz w:val="28"/>
          <w:szCs w:val="28"/>
          <w:highlight w:val="none"/>
          <w:lang w:eastAsia="zh-CN"/>
        </w:rPr>
        <w:t>、</w:t>
      </w:r>
      <w:r>
        <w:rPr>
          <w:rFonts w:hint="eastAsia" w:ascii="仿宋_GB2312" w:eastAsia="仿宋_GB2312" w:cs="仿宋"/>
          <w:b w:val="0"/>
          <w:sz w:val="28"/>
          <w:szCs w:val="28"/>
          <w:highlight w:val="none"/>
        </w:rPr>
        <w:t>乙方认真做好安全确认和安全技术交底，对安全确认和安全技术交底不到位造成的安全事故，由乙方承担全部责任。</w:t>
      </w:r>
    </w:p>
    <w:p w14:paraId="2EF7378C">
      <w:pPr>
        <w:pStyle w:val="59"/>
        <w:shd w:val="clear"/>
        <w:spacing w:line="420" w:lineRule="exact"/>
        <w:ind w:left="851" w:leftChars="0" w:hanging="851" w:firstLineChars="0"/>
        <w:outlineLvl w:val="0"/>
        <w:rPr>
          <w:rFonts w:hint="eastAsia" w:ascii="仿宋_GB2312" w:eastAsia="仿宋_GB2312"/>
          <w:sz w:val="28"/>
          <w:szCs w:val="28"/>
          <w:highlight w:val="none"/>
        </w:rPr>
      </w:pPr>
      <w:bookmarkStart w:id="229" w:name="_Toc18759"/>
      <w:r>
        <w:rPr>
          <w:rFonts w:hint="eastAsia" w:ascii="仿宋_GB2312" w:eastAsia="仿宋_GB2312"/>
          <w:sz w:val="28"/>
          <w:szCs w:val="28"/>
          <w:highlight w:val="none"/>
          <w:lang w:val="en-US" w:eastAsia="zh-CN"/>
        </w:rPr>
        <w:t>五、</w:t>
      </w:r>
      <w:r>
        <w:rPr>
          <w:rFonts w:hint="eastAsia" w:ascii="仿宋_GB2312" w:eastAsia="仿宋_GB2312"/>
          <w:sz w:val="28"/>
          <w:szCs w:val="28"/>
          <w:highlight w:val="none"/>
        </w:rPr>
        <w:t>违约责任</w:t>
      </w:r>
      <w:bookmarkEnd w:id="229"/>
    </w:p>
    <w:p w14:paraId="618860A6">
      <w:pPr>
        <w:pStyle w:val="59"/>
        <w:shd w:val="clear"/>
        <w:spacing w:line="420" w:lineRule="exact"/>
        <w:ind w:left="0" w:leftChars="0" w:firstLine="560" w:firstLineChars="200"/>
        <w:outlineLvl w:val="9"/>
        <w:rPr>
          <w:rFonts w:hint="eastAsia" w:ascii="仿宋_GB2312" w:eastAsia="仿宋_GB2312" w:cs="仿宋"/>
          <w:b w:val="0"/>
          <w:sz w:val="28"/>
          <w:szCs w:val="28"/>
          <w:highlight w:val="none"/>
        </w:rPr>
      </w:pPr>
      <w:r>
        <w:rPr>
          <w:rFonts w:hint="eastAsia" w:ascii="仿宋_GB2312" w:eastAsia="仿宋_GB2312" w:cs="仿宋"/>
          <w:b w:val="0"/>
          <w:sz w:val="28"/>
          <w:szCs w:val="28"/>
          <w:highlight w:val="none"/>
        </w:rPr>
        <w:t>1</w:t>
      </w:r>
      <w:r>
        <w:rPr>
          <w:rFonts w:hint="eastAsia" w:ascii="仿宋_GB2312" w:eastAsia="仿宋_GB2312" w:cs="仿宋"/>
          <w:b w:val="0"/>
          <w:sz w:val="28"/>
          <w:szCs w:val="28"/>
          <w:highlight w:val="none"/>
          <w:lang w:val="en-US" w:eastAsia="zh-CN"/>
        </w:rPr>
        <w:t>.</w:t>
      </w:r>
      <w:r>
        <w:rPr>
          <w:rFonts w:hint="eastAsia" w:ascii="仿宋_GB2312" w:eastAsia="仿宋_GB2312" w:cs="仿宋"/>
          <w:b w:val="0"/>
          <w:sz w:val="28"/>
          <w:szCs w:val="28"/>
          <w:highlight w:val="none"/>
        </w:rPr>
        <w:t>乙方要按照甲方的时间要求，确保按时到场，按时完成甲方规定的工作任务。对于不按时到场或不按时完成工作任务的行为，视情节轻重给予1000-3000元的</w:t>
      </w:r>
      <w:r>
        <w:rPr>
          <w:rFonts w:hint="eastAsia" w:ascii="仿宋_GB2312" w:eastAsia="仿宋_GB2312" w:cs="仿宋"/>
          <w:b w:val="0"/>
          <w:sz w:val="28"/>
          <w:szCs w:val="28"/>
          <w:highlight w:val="none"/>
          <w:lang w:val="en-US" w:eastAsia="zh-CN"/>
        </w:rPr>
        <w:t>考核</w:t>
      </w:r>
      <w:r>
        <w:rPr>
          <w:rFonts w:hint="eastAsia" w:ascii="仿宋_GB2312" w:eastAsia="仿宋_GB2312" w:cs="仿宋"/>
          <w:b w:val="0"/>
          <w:sz w:val="28"/>
          <w:szCs w:val="28"/>
          <w:highlight w:val="none"/>
        </w:rPr>
        <w:t>。对于</w:t>
      </w:r>
      <w:r>
        <w:rPr>
          <w:rFonts w:hint="eastAsia" w:ascii="仿宋_GB2312" w:eastAsia="仿宋_GB2312" w:cs="仿宋"/>
          <w:b w:val="0"/>
          <w:sz w:val="28"/>
          <w:szCs w:val="28"/>
          <w:highlight w:val="none"/>
          <w:lang w:val="en-US" w:eastAsia="zh-CN"/>
        </w:rPr>
        <w:t>大于3</w:t>
      </w:r>
      <w:r>
        <w:rPr>
          <w:rFonts w:hint="eastAsia" w:ascii="仿宋_GB2312" w:eastAsia="仿宋_GB2312" w:cs="仿宋"/>
          <w:b w:val="0"/>
          <w:sz w:val="28"/>
          <w:szCs w:val="28"/>
          <w:highlight w:val="none"/>
        </w:rPr>
        <w:t>次不按时到场或不按时完成工作任务的行为，造成严重影响和不良后果的，甲方有权单方面解除合同。</w:t>
      </w:r>
    </w:p>
    <w:p w14:paraId="0A111F68">
      <w:pPr>
        <w:pStyle w:val="59"/>
        <w:shd w:val="clear"/>
        <w:spacing w:line="420" w:lineRule="exact"/>
        <w:ind w:left="0" w:leftChars="0" w:firstLine="560" w:firstLineChars="200"/>
        <w:outlineLvl w:val="9"/>
        <w:rPr>
          <w:rFonts w:hint="eastAsia" w:ascii="仿宋_GB2312" w:eastAsia="仿宋_GB2312" w:cs="仿宋"/>
          <w:b w:val="0"/>
          <w:sz w:val="28"/>
          <w:szCs w:val="28"/>
          <w:highlight w:val="none"/>
        </w:rPr>
      </w:pPr>
      <w:r>
        <w:rPr>
          <w:rFonts w:hint="eastAsia" w:ascii="仿宋_GB2312" w:eastAsia="仿宋_GB2312" w:cs="仿宋"/>
          <w:b w:val="0"/>
          <w:sz w:val="28"/>
          <w:szCs w:val="28"/>
          <w:highlight w:val="none"/>
        </w:rPr>
        <w:t>2</w:t>
      </w:r>
      <w:r>
        <w:rPr>
          <w:rFonts w:hint="eastAsia" w:ascii="仿宋_GB2312" w:eastAsia="仿宋_GB2312" w:cs="仿宋"/>
          <w:b w:val="0"/>
          <w:sz w:val="28"/>
          <w:szCs w:val="28"/>
          <w:highlight w:val="none"/>
          <w:lang w:val="en-US" w:eastAsia="zh-CN"/>
        </w:rPr>
        <w:t>.</w:t>
      </w:r>
      <w:r>
        <w:rPr>
          <w:rFonts w:hint="eastAsia" w:ascii="仿宋_GB2312" w:eastAsia="仿宋_GB2312" w:cs="仿宋"/>
          <w:b w:val="0"/>
          <w:sz w:val="28"/>
          <w:szCs w:val="28"/>
        </w:rPr>
        <w:t>甲方不按时支付费用，</w:t>
      </w:r>
      <w:r>
        <w:rPr>
          <w:rFonts w:hint="eastAsia" w:ascii="仿宋_GB2312" w:eastAsia="仿宋_GB2312" w:cs="仿宋"/>
          <w:b w:val="0"/>
          <w:sz w:val="28"/>
          <w:szCs w:val="28"/>
          <w:lang w:val="en-US" w:eastAsia="zh-CN"/>
        </w:rPr>
        <w:t>以延迟支付款项金额，</w:t>
      </w:r>
      <w:r>
        <w:rPr>
          <w:rFonts w:hint="eastAsia" w:ascii="仿宋_GB2312" w:eastAsia="仿宋_GB2312" w:cs="仿宋"/>
          <w:b w:val="0"/>
          <w:sz w:val="28"/>
          <w:szCs w:val="28"/>
        </w:rPr>
        <w:t>按全国银行间同业拆借中心公布的一年期贷款市场报价利率（LPR）计算向乙方支付违约金。</w:t>
      </w:r>
    </w:p>
    <w:p w14:paraId="63EE4223">
      <w:pPr>
        <w:pStyle w:val="59"/>
        <w:shd w:val="clear"/>
        <w:spacing w:line="420" w:lineRule="exact"/>
        <w:ind w:left="0" w:leftChars="0" w:firstLine="560" w:firstLineChars="200"/>
        <w:outlineLvl w:val="9"/>
        <w:rPr>
          <w:rFonts w:hint="default" w:ascii="仿宋_GB2312" w:eastAsia="仿宋_GB2312" w:cs="仿宋"/>
          <w:b w:val="0"/>
          <w:sz w:val="28"/>
          <w:szCs w:val="28"/>
          <w:highlight w:val="none"/>
          <w:lang w:val="en-US" w:eastAsia="zh-CN"/>
        </w:rPr>
      </w:pPr>
      <w:r>
        <w:rPr>
          <w:rFonts w:hint="eastAsia" w:ascii="仿宋_GB2312" w:eastAsia="仿宋_GB2312" w:cs="仿宋"/>
          <w:b w:val="0"/>
          <w:sz w:val="28"/>
          <w:szCs w:val="28"/>
          <w:highlight w:val="none"/>
          <w:lang w:val="en-US" w:eastAsia="zh-CN"/>
        </w:rPr>
        <w:t>3.如因乙方原因提前单方面解除合同或拒不提供服务（包括质保期内拒不提供质保服务），乙方须赔偿甲方合同总额10%的违约金。</w:t>
      </w:r>
    </w:p>
    <w:p w14:paraId="0F8FF092">
      <w:pPr>
        <w:pStyle w:val="59"/>
        <w:shd w:val="clear"/>
        <w:spacing w:line="420" w:lineRule="exact"/>
        <w:ind w:left="851" w:leftChars="0" w:hanging="851" w:firstLineChars="0"/>
        <w:outlineLvl w:val="0"/>
        <w:rPr>
          <w:rFonts w:hint="eastAsia" w:ascii="仿宋_GB2312" w:eastAsia="仿宋_GB2312"/>
          <w:sz w:val="28"/>
          <w:szCs w:val="28"/>
          <w:highlight w:val="none"/>
        </w:rPr>
      </w:pPr>
      <w:bookmarkStart w:id="230" w:name="_Toc27712"/>
      <w:r>
        <w:rPr>
          <w:rFonts w:hint="eastAsia" w:ascii="仿宋_GB2312" w:eastAsia="仿宋_GB2312"/>
          <w:sz w:val="28"/>
          <w:szCs w:val="28"/>
          <w:highlight w:val="none"/>
          <w:lang w:val="en-US" w:eastAsia="zh-CN"/>
        </w:rPr>
        <w:t>六、</w:t>
      </w:r>
      <w:r>
        <w:rPr>
          <w:rFonts w:hint="eastAsia" w:ascii="仿宋_GB2312" w:eastAsia="仿宋_GB2312"/>
          <w:sz w:val="28"/>
          <w:szCs w:val="28"/>
          <w:highlight w:val="none"/>
        </w:rPr>
        <w:t>争议解决</w:t>
      </w:r>
      <w:bookmarkEnd w:id="230"/>
    </w:p>
    <w:p w14:paraId="2B45369D">
      <w:pPr>
        <w:shd w:val="clear"/>
        <w:snapToGrid w:val="0"/>
        <w:spacing w:line="420" w:lineRule="exact"/>
        <w:ind w:firstLine="560" w:firstLineChars="200"/>
        <w:rPr>
          <w:rFonts w:hint="eastAsia" w:ascii="仿宋_GB2312" w:eastAsia="仿宋_GB2312" w:cs="仿宋"/>
          <w:sz w:val="28"/>
          <w:szCs w:val="28"/>
          <w:highlight w:val="none"/>
        </w:rPr>
      </w:pPr>
      <w:r>
        <w:rPr>
          <w:rFonts w:hint="eastAsia" w:ascii="仿宋_GB2312" w:eastAsia="仿宋_GB2312" w:cs="仿宋"/>
          <w:sz w:val="28"/>
          <w:szCs w:val="28"/>
          <w:highlight w:val="none"/>
        </w:rPr>
        <w:t>双方约定，在履行本合同过程中发生争议，双方协商解决；协商不成时，依法向甲方法人所在地人民法院提起诉讼。</w:t>
      </w:r>
    </w:p>
    <w:bookmarkEnd w:id="227"/>
    <w:p w14:paraId="1348FF7C">
      <w:pPr>
        <w:pStyle w:val="59"/>
        <w:shd w:val="clear"/>
        <w:spacing w:line="420" w:lineRule="exact"/>
        <w:ind w:left="851" w:leftChars="0" w:hanging="851" w:firstLineChars="0"/>
        <w:outlineLvl w:val="0"/>
        <w:rPr>
          <w:rFonts w:hint="eastAsia" w:ascii="仿宋_GB2312" w:eastAsia="仿宋_GB2312"/>
          <w:sz w:val="28"/>
          <w:szCs w:val="28"/>
          <w:highlight w:val="none"/>
        </w:rPr>
      </w:pPr>
      <w:bookmarkStart w:id="231" w:name="_Toc11560"/>
      <w:bookmarkStart w:id="232" w:name="_Toc521503318"/>
      <w:r>
        <w:rPr>
          <w:rFonts w:hint="eastAsia" w:ascii="仿宋_GB2312" w:eastAsia="仿宋_GB2312"/>
          <w:sz w:val="28"/>
          <w:szCs w:val="28"/>
          <w:highlight w:val="none"/>
          <w:lang w:val="en-US" w:eastAsia="zh-CN"/>
        </w:rPr>
        <w:t>七、</w:t>
      </w:r>
      <w:r>
        <w:rPr>
          <w:rFonts w:hint="eastAsia" w:ascii="仿宋_GB2312" w:eastAsia="仿宋_GB2312"/>
          <w:sz w:val="28"/>
          <w:szCs w:val="28"/>
          <w:highlight w:val="none"/>
        </w:rPr>
        <w:t>其他约定事项</w:t>
      </w:r>
      <w:bookmarkEnd w:id="231"/>
      <w:bookmarkEnd w:id="232"/>
    </w:p>
    <w:p w14:paraId="525C284F">
      <w:pPr>
        <w:shd w:val="clear"/>
        <w:snapToGrid w:val="0"/>
        <w:spacing w:line="420" w:lineRule="exact"/>
        <w:ind w:firstLine="560" w:firstLineChars="200"/>
        <w:rPr>
          <w:rFonts w:hint="eastAsia" w:ascii="仿宋_GB2312" w:eastAsia="仿宋_GB2312" w:cs="仿宋"/>
          <w:sz w:val="28"/>
          <w:szCs w:val="28"/>
          <w:highlight w:val="none"/>
          <w:u w:val="single"/>
        </w:rPr>
      </w:pPr>
      <w:r>
        <w:rPr>
          <w:rFonts w:hint="eastAsia" w:ascii="仿宋_GB2312" w:eastAsia="仿宋_GB2312" w:cs="仿宋"/>
          <w:sz w:val="28"/>
          <w:szCs w:val="28"/>
          <w:highlight w:val="none"/>
        </w:rPr>
        <w:t>1</w:t>
      </w:r>
      <w:r>
        <w:rPr>
          <w:rFonts w:hint="eastAsia" w:ascii="仿宋_GB2312" w:eastAsia="仿宋_GB2312" w:cs="仿宋"/>
          <w:sz w:val="28"/>
          <w:szCs w:val="28"/>
          <w:highlight w:val="none"/>
          <w:lang w:val="en-US" w:eastAsia="zh-CN"/>
        </w:rPr>
        <w:t>.</w:t>
      </w:r>
      <w:r>
        <w:rPr>
          <w:rFonts w:hint="eastAsia" w:ascii="仿宋_GB2312" w:eastAsia="仿宋_GB2312" w:cs="仿宋"/>
          <w:sz w:val="28"/>
          <w:szCs w:val="28"/>
          <w:highlight w:val="none"/>
        </w:rPr>
        <w:t>特别约定事项：</w:t>
      </w:r>
    </w:p>
    <w:p w14:paraId="751C9EAA">
      <w:pPr>
        <w:shd w:val="clear"/>
        <w:snapToGrid w:val="0"/>
        <w:spacing w:line="420" w:lineRule="exact"/>
        <w:ind w:firstLine="560" w:firstLineChars="200"/>
        <w:rPr>
          <w:rFonts w:hint="eastAsia" w:ascii="仿宋_GB2312" w:eastAsia="仿宋_GB2312" w:cs="仿宋"/>
          <w:sz w:val="28"/>
          <w:szCs w:val="28"/>
          <w:highlight w:val="none"/>
        </w:rPr>
      </w:pPr>
      <w:r>
        <w:rPr>
          <w:rFonts w:hint="eastAsia" w:ascii="仿宋_GB2312" w:eastAsia="仿宋_GB2312" w:cs="仿宋"/>
          <w:sz w:val="28"/>
          <w:szCs w:val="28"/>
          <w:highlight w:val="none"/>
        </w:rPr>
        <w:t>2</w:t>
      </w:r>
      <w:r>
        <w:rPr>
          <w:rFonts w:hint="eastAsia" w:ascii="仿宋_GB2312" w:eastAsia="仿宋_GB2312" w:cs="仿宋"/>
          <w:sz w:val="28"/>
          <w:szCs w:val="28"/>
          <w:highlight w:val="none"/>
          <w:lang w:val="en-US" w:eastAsia="zh-CN"/>
        </w:rPr>
        <w:t>.</w:t>
      </w:r>
      <w:r>
        <w:rPr>
          <w:rFonts w:hint="eastAsia" w:ascii="仿宋_GB2312" w:eastAsia="仿宋_GB2312" w:cs="仿宋"/>
          <w:sz w:val="28"/>
          <w:szCs w:val="28"/>
          <w:highlight w:val="none"/>
        </w:rPr>
        <w:t>合同文件包括此合同书和下列文件，是本合同不可分割的一部分：</w:t>
      </w:r>
    </w:p>
    <w:p w14:paraId="3EC98E18">
      <w:pPr>
        <w:shd w:val="clear"/>
        <w:snapToGrid w:val="0"/>
        <w:spacing w:line="420" w:lineRule="exact"/>
        <w:ind w:firstLine="560" w:firstLineChars="200"/>
        <w:rPr>
          <w:rFonts w:hint="eastAsia" w:ascii="仿宋_GB2312" w:eastAsia="仿宋_GB2312" w:cs="仿宋"/>
          <w:sz w:val="28"/>
          <w:szCs w:val="28"/>
          <w:highlight w:val="none"/>
          <w:lang w:eastAsia="zh-CN"/>
        </w:rPr>
      </w:pPr>
      <w:r>
        <w:rPr>
          <w:rFonts w:hint="eastAsia" w:ascii="仿宋_GB2312" w:eastAsia="仿宋_GB2312" w:cs="仿宋"/>
          <w:sz w:val="28"/>
          <w:szCs w:val="28"/>
          <w:highlight w:val="none"/>
        </w:rPr>
        <w:t>（1）本合同</w:t>
      </w:r>
      <w:r>
        <w:rPr>
          <w:rFonts w:hint="eastAsia" w:ascii="仿宋_GB2312" w:eastAsia="仿宋_GB2312" w:cs="仿宋"/>
          <w:sz w:val="28"/>
          <w:szCs w:val="28"/>
          <w:highlight w:val="none"/>
          <w:lang w:eastAsia="zh-CN"/>
        </w:rPr>
        <w:t>；</w:t>
      </w:r>
    </w:p>
    <w:p w14:paraId="7DA481D8">
      <w:pPr>
        <w:shd w:val="clear"/>
        <w:snapToGrid w:val="0"/>
        <w:spacing w:line="420" w:lineRule="exact"/>
        <w:ind w:firstLine="560" w:firstLineChars="200"/>
        <w:rPr>
          <w:rFonts w:hint="eastAsia" w:ascii="仿宋_GB2312" w:eastAsia="仿宋_GB2312" w:cs="仿宋"/>
          <w:sz w:val="28"/>
          <w:szCs w:val="28"/>
          <w:highlight w:val="none"/>
        </w:rPr>
      </w:pPr>
      <w:r>
        <w:rPr>
          <w:rFonts w:hint="eastAsia" w:ascii="仿宋_GB2312" w:eastAsia="仿宋_GB2312" w:cs="仿宋"/>
          <w:sz w:val="28"/>
          <w:szCs w:val="28"/>
          <w:highlight w:val="none"/>
        </w:rPr>
        <w:t xml:space="preserve">（2）招标文件； </w:t>
      </w:r>
    </w:p>
    <w:p w14:paraId="2CCC6A4D">
      <w:pPr>
        <w:shd w:val="clear"/>
        <w:snapToGrid w:val="0"/>
        <w:spacing w:line="420" w:lineRule="exact"/>
        <w:ind w:firstLine="560" w:firstLineChars="200"/>
        <w:rPr>
          <w:rFonts w:hint="eastAsia" w:ascii="仿宋_GB2312" w:eastAsia="仿宋_GB2312" w:cs="仿宋"/>
          <w:sz w:val="28"/>
          <w:szCs w:val="28"/>
          <w:highlight w:val="none"/>
        </w:rPr>
      </w:pPr>
      <w:r>
        <w:rPr>
          <w:rFonts w:hint="eastAsia" w:ascii="仿宋_GB2312" w:eastAsia="仿宋_GB2312" w:cs="仿宋"/>
          <w:sz w:val="28"/>
          <w:szCs w:val="28"/>
          <w:highlight w:val="none"/>
        </w:rPr>
        <w:t xml:space="preserve">（3）投标文件； </w:t>
      </w:r>
    </w:p>
    <w:p w14:paraId="7218BAF0">
      <w:pPr>
        <w:shd w:val="clear"/>
        <w:snapToGrid w:val="0"/>
        <w:spacing w:line="420" w:lineRule="exact"/>
        <w:ind w:firstLine="560" w:firstLineChars="200"/>
        <w:rPr>
          <w:rFonts w:hint="eastAsia" w:ascii="仿宋_GB2312" w:eastAsia="仿宋_GB2312" w:cs="仿宋"/>
          <w:sz w:val="28"/>
          <w:szCs w:val="28"/>
          <w:highlight w:val="none"/>
        </w:rPr>
      </w:pPr>
      <w:r>
        <w:rPr>
          <w:rFonts w:hint="eastAsia" w:ascii="仿宋_GB2312" w:eastAsia="仿宋_GB2312" w:cs="仿宋"/>
          <w:sz w:val="28"/>
          <w:szCs w:val="28"/>
          <w:highlight w:val="none"/>
        </w:rPr>
        <w:t>（4）乙方所有对甲方的承诺函件；</w:t>
      </w:r>
    </w:p>
    <w:p w14:paraId="3AD1F2FF">
      <w:pPr>
        <w:shd w:val="clear"/>
        <w:snapToGrid w:val="0"/>
        <w:spacing w:line="420" w:lineRule="exact"/>
        <w:ind w:firstLine="700" w:firstLineChars="250"/>
        <w:rPr>
          <w:rFonts w:hint="eastAsia" w:ascii="仿宋_GB2312" w:eastAsia="仿宋_GB2312" w:cs="仿宋"/>
          <w:sz w:val="28"/>
          <w:szCs w:val="28"/>
          <w:highlight w:val="none"/>
        </w:rPr>
      </w:pPr>
      <w:r>
        <w:rPr>
          <w:rFonts w:hint="eastAsia" w:ascii="仿宋_GB2312" w:eastAsia="仿宋_GB2312" w:cs="仿宋"/>
          <w:sz w:val="28"/>
          <w:szCs w:val="28"/>
          <w:highlight w:val="none"/>
        </w:rPr>
        <w:t>本合同效力高于其它合同文件，如果合同文件中出现分歧，则以本合同文件为准。</w:t>
      </w:r>
    </w:p>
    <w:p w14:paraId="615BA383">
      <w:pPr>
        <w:shd w:val="clear"/>
        <w:snapToGrid w:val="0"/>
        <w:spacing w:line="420" w:lineRule="exact"/>
        <w:ind w:firstLine="560" w:firstLineChars="200"/>
        <w:rPr>
          <w:rFonts w:hint="eastAsia" w:ascii="仿宋_GB2312" w:eastAsia="仿宋_GB2312" w:cs="仿宋"/>
          <w:sz w:val="28"/>
          <w:szCs w:val="28"/>
          <w:highlight w:val="none"/>
        </w:rPr>
      </w:pPr>
      <w:r>
        <w:rPr>
          <w:rFonts w:hint="eastAsia" w:ascii="仿宋_GB2312" w:eastAsia="仿宋_GB2312" w:cs="仿宋"/>
          <w:sz w:val="28"/>
          <w:szCs w:val="28"/>
          <w:highlight w:val="none"/>
        </w:rPr>
        <w:t>3</w:t>
      </w:r>
      <w:r>
        <w:rPr>
          <w:rFonts w:hint="eastAsia" w:ascii="仿宋_GB2312" w:eastAsia="仿宋_GB2312" w:cs="仿宋"/>
          <w:sz w:val="28"/>
          <w:szCs w:val="28"/>
          <w:highlight w:val="none"/>
          <w:lang w:val="en-US" w:eastAsia="zh-CN"/>
        </w:rPr>
        <w:t>.</w:t>
      </w:r>
      <w:r>
        <w:rPr>
          <w:rFonts w:hint="eastAsia" w:ascii="仿宋_GB2312" w:eastAsia="仿宋_GB2312" w:cs="仿宋"/>
          <w:sz w:val="28"/>
          <w:szCs w:val="28"/>
          <w:highlight w:val="none"/>
        </w:rPr>
        <w:t>对本合同的变更只能经双方法定代表人或授权委托人签署补充合同，并加盖本合同统一公章，其他以会议纪要等形式对合同更改的一律无效。</w:t>
      </w:r>
    </w:p>
    <w:bookmarkEnd w:id="225"/>
    <w:p w14:paraId="6C08F1C9">
      <w:pPr>
        <w:snapToGrid w:val="0"/>
        <w:spacing w:line="420" w:lineRule="exact"/>
        <w:ind w:firstLine="560" w:firstLineChars="200"/>
        <w:rPr>
          <w:rFonts w:hint="eastAsia" w:ascii="仿宋_GB2312" w:eastAsia="仿宋_GB2312" w:cs="仿宋"/>
          <w:sz w:val="28"/>
          <w:szCs w:val="28"/>
        </w:rPr>
      </w:pPr>
      <w:r>
        <w:rPr>
          <w:rFonts w:hint="eastAsia" w:ascii="仿宋_GB2312" w:eastAsia="仿宋_GB2312" w:cs="仿宋"/>
          <w:sz w:val="28"/>
          <w:szCs w:val="28"/>
          <w:lang w:val="en-US" w:eastAsia="zh-CN"/>
        </w:rPr>
        <w:t>4.</w:t>
      </w:r>
      <w:r>
        <w:rPr>
          <w:rFonts w:hint="eastAsia" w:ascii="仿宋_GB2312" w:eastAsia="仿宋_GB2312" w:cs="仿宋"/>
          <w:sz w:val="28"/>
          <w:szCs w:val="28"/>
        </w:rPr>
        <w:t>双方往来均以书面形式为准。</w:t>
      </w:r>
    </w:p>
    <w:p w14:paraId="7741BDC1">
      <w:pPr>
        <w:snapToGrid w:val="0"/>
        <w:spacing w:line="420" w:lineRule="exact"/>
        <w:ind w:firstLine="560" w:firstLineChars="200"/>
        <w:rPr>
          <w:rFonts w:hint="eastAsia" w:ascii="仿宋_GB2312" w:eastAsia="仿宋_GB2312" w:cs="仿宋"/>
          <w:sz w:val="28"/>
          <w:szCs w:val="28"/>
        </w:rPr>
      </w:pPr>
      <w:r>
        <w:rPr>
          <w:rFonts w:hint="eastAsia" w:ascii="仿宋_GB2312" w:eastAsia="仿宋_GB2312" w:cs="仿宋"/>
          <w:sz w:val="28"/>
          <w:szCs w:val="28"/>
          <w:lang w:val="en-US" w:eastAsia="zh-CN"/>
        </w:rPr>
        <w:t>5.</w:t>
      </w:r>
      <w:r>
        <w:rPr>
          <w:rFonts w:hint="eastAsia" w:ascii="仿宋_GB2312" w:eastAsia="仿宋_GB2312" w:cs="仿宋"/>
          <w:sz w:val="28"/>
          <w:szCs w:val="28"/>
        </w:rPr>
        <w:t>本合同经双方签字并盖章后生效。</w:t>
      </w:r>
    </w:p>
    <w:p w14:paraId="638838DB">
      <w:pPr>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lang w:val="en-US" w:eastAsia="zh-CN"/>
        </w:rPr>
        <w:t>6.</w:t>
      </w:r>
      <w:r>
        <w:rPr>
          <w:rFonts w:hint="eastAsia" w:ascii="仿宋_GB2312" w:eastAsia="仿宋_GB2312" w:cs="仿宋"/>
          <w:sz w:val="28"/>
          <w:szCs w:val="28"/>
        </w:rPr>
        <w:t>签订地点：济南市章丘区</w:t>
      </w:r>
    </w:p>
    <w:p w14:paraId="44FC51FD">
      <w:pPr>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lang w:val="en-US" w:eastAsia="zh-CN"/>
        </w:rPr>
        <w:t>7.</w:t>
      </w:r>
      <w:r>
        <w:rPr>
          <w:rFonts w:hint="eastAsia" w:ascii="仿宋_GB2312" w:eastAsia="仿宋_GB2312" w:cs="仿宋"/>
          <w:sz w:val="28"/>
          <w:szCs w:val="28"/>
        </w:rPr>
        <w:t>本合同一式</w:t>
      </w:r>
      <w:r>
        <w:rPr>
          <w:rFonts w:hint="eastAsia" w:ascii="仿宋_GB2312" w:eastAsia="仿宋_GB2312" w:cs="仿宋"/>
          <w:sz w:val="28"/>
          <w:szCs w:val="28"/>
          <w:lang w:val="en-US" w:eastAsia="zh-CN"/>
        </w:rPr>
        <w:t>五</w:t>
      </w:r>
      <w:r>
        <w:rPr>
          <w:rFonts w:hint="eastAsia" w:ascii="仿宋_GB2312" w:eastAsia="仿宋_GB2312" w:cs="仿宋"/>
          <w:sz w:val="28"/>
          <w:szCs w:val="28"/>
        </w:rPr>
        <w:t>份，甲方</w:t>
      </w:r>
      <w:r>
        <w:rPr>
          <w:rFonts w:hint="eastAsia" w:ascii="仿宋_GB2312" w:eastAsia="仿宋_GB2312" w:cs="仿宋"/>
          <w:sz w:val="28"/>
          <w:szCs w:val="28"/>
          <w:lang w:val="en-US" w:eastAsia="zh-CN"/>
        </w:rPr>
        <w:t>三</w:t>
      </w:r>
      <w:r>
        <w:rPr>
          <w:rFonts w:hint="eastAsia" w:ascii="仿宋_GB2312" w:eastAsia="仿宋_GB2312" w:cs="仿宋"/>
          <w:sz w:val="28"/>
          <w:szCs w:val="28"/>
        </w:rPr>
        <w:t>份，乙方两份，均具同等法律效力。</w:t>
      </w:r>
    </w:p>
    <w:p w14:paraId="7EC09735">
      <w:pPr>
        <w:pageBreakBefore w:val="0"/>
        <w:widowControl w:val="0"/>
        <w:shd w:val="clear"/>
        <w:kinsoku/>
        <w:wordWrap/>
        <w:overflowPunct/>
        <w:topLinePunct w:val="0"/>
        <w:autoSpaceDE/>
        <w:autoSpaceDN/>
        <w:bidi w:val="0"/>
        <w:adjustRightInd/>
        <w:snapToGrid w:val="0"/>
        <w:spacing w:line="240" w:lineRule="auto"/>
        <w:textAlignment w:val="auto"/>
        <w:rPr>
          <w:rFonts w:hint="eastAsia" w:ascii="仿宋_GB2312" w:eastAsia="仿宋_GB2312" w:cs="仿宋"/>
          <w:sz w:val="28"/>
          <w:szCs w:val="28"/>
          <w:highlight w:val="none"/>
          <w:lang w:val="en-US" w:eastAsia="zh-CN"/>
        </w:rPr>
      </w:pPr>
    </w:p>
    <w:p w14:paraId="7EBC6209">
      <w:pPr>
        <w:pageBreakBefore w:val="0"/>
        <w:widowControl w:val="0"/>
        <w:shd w:val="clear"/>
        <w:kinsoku/>
        <w:wordWrap/>
        <w:overflowPunct/>
        <w:topLinePunct w:val="0"/>
        <w:autoSpaceDE/>
        <w:autoSpaceDN/>
        <w:bidi w:val="0"/>
        <w:adjustRightInd/>
        <w:snapToGrid w:val="0"/>
        <w:spacing w:line="240" w:lineRule="auto"/>
        <w:ind w:firstLine="560" w:firstLineChars="200"/>
        <w:textAlignment w:val="auto"/>
        <w:rPr>
          <w:rFonts w:hint="default" w:eastAsia="宋体"/>
          <w:highlight w:val="none"/>
          <w:lang w:val="en-US" w:eastAsia="zh-CN"/>
        </w:rPr>
      </w:pPr>
      <w:r>
        <w:rPr>
          <w:rFonts w:hint="eastAsia" w:ascii="仿宋_GB2312" w:eastAsia="仿宋_GB2312" w:cs="仿宋"/>
          <w:sz w:val="28"/>
          <w:szCs w:val="28"/>
          <w:highlight w:val="none"/>
          <w:lang w:val="en-US" w:eastAsia="zh-CN"/>
        </w:rPr>
        <w:t>合同</w:t>
      </w:r>
      <w:r>
        <w:rPr>
          <w:rFonts w:hint="eastAsia" w:ascii="仿宋_GB2312" w:eastAsia="仿宋_GB2312" w:cs="仿宋"/>
          <w:sz w:val="28"/>
          <w:szCs w:val="28"/>
          <w:highlight w:val="none"/>
        </w:rPr>
        <w:t>附件：廉洁协议书</w:t>
      </w:r>
    </w:p>
    <w:p w14:paraId="7E5E4457">
      <w:pPr>
        <w:shd w:val="clear"/>
        <w:snapToGrid w:val="0"/>
        <w:spacing w:line="360" w:lineRule="auto"/>
        <w:ind w:firstLine="560" w:firstLineChars="200"/>
        <w:rPr>
          <w:rFonts w:hint="eastAsia" w:ascii="仿宋_GB2312" w:eastAsia="仿宋_GB2312" w:cs="仿宋"/>
          <w:sz w:val="28"/>
          <w:szCs w:val="28"/>
          <w:highlight w:val="none"/>
        </w:rPr>
      </w:pPr>
    </w:p>
    <w:p w14:paraId="2816D0F8">
      <w:pPr>
        <w:shd w:val="clear"/>
        <w:snapToGrid w:val="0"/>
        <w:spacing w:line="360" w:lineRule="auto"/>
        <w:ind w:firstLine="480" w:firstLineChars="200"/>
        <w:jc w:val="center"/>
        <w:rPr>
          <w:rFonts w:hint="eastAsia" w:ascii="仿宋_GB2312" w:eastAsia="仿宋_GB2312" w:cs="仿宋"/>
          <w:sz w:val="24"/>
          <w:highlight w:val="none"/>
        </w:rPr>
      </w:pPr>
    </w:p>
    <w:tbl>
      <w:tblPr>
        <w:tblStyle w:val="46"/>
        <w:tblW w:w="9875" w:type="dxa"/>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0" w:type="dxa"/>
          <w:bottom w:w="0" w:type="dxa"/>
          <w:right w:w="0" w:type="dxa"/>
        </w:tblCellMar>
      </w:tblPr>
      <w:tblGrid>
        <w:gridCol w:w="5399"/>
        <w:gridCol w:w="4476"/>
      </w:tblGrid>
      <w:tr w14:paraId="2455F31E">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1153" w:hRule="atLeast"/>
          <w:jc w:val="center"/>
        </w:trPr>
        <w:tc>
          <w:tcPr>
            <w:tcW w:w="5399" w:type="dxa"/>
            <w:noWrap w:val="0"/>
            <w:vAlign w:val="center"/>
          </w:tcPr>
          <w:p w14:paraId="5076AE55">
            <w:pPr>
              <w:shd w:val="clear"/>
              <w:spacing w:line="360" w:lineRule="auto"/>
              <w:ind w:right="348" w:rightChars="145"/>
              <w:rPr>
                <w:rFonts w:hint="eastAsia" w:ascii="仿宋_GB2312" w:eastAsia="仿宋_GB2312" w:cs="仿宋"/>
                <w:sz w:val="24"/>
                <w:highlight w:val="none"/>
              </w:rPr>
            </w:pPr>
            <w:r>
              <w:rPr>
                <w:rFonts w:hint="eastAsia" w:ascii="仿宋_GB2312" w:eastAsia="仿宋_GB2312" w:cs="仿宋"/>
                <w:sz w:val="24"/>
                <w:highlight w:val="none"/>
              </w:rPr>
              <w:t xml:space="preserve">甲方（盖章）：山东济钢环保新材料有限公司 </w:t>
            </w:r>
          </w:p>
        </w:tc>
        <w:tc>
          <w:tcPr>
            <w:tcW w:w="4476" w:type="dxa"/>
            <w:noWrap w:val="0"/>
            <w:vAlign w:val="center"/>
          </w:tcPr>
          <w:p w14:paraId="3B44C605">
            <w:pPr>
              <w:keepLines/>
              <w:shd w:val="clear"/>
              <w:tabs>
                <w:tab w:val="left" w:pos="180"/>
                <w:tab w:val="left" w:pos="4320"/>
                <w:tab w:val="left" w:pos="5040"/>
                <w:tab w:val="right" w:pos="8640"/>
              </w:tabs>
              <w:spacing w:before="156" w:beforeLines="50" w:after="156" w:afterLines="50"/>
              <w:ind w:left="1605" w:hanging="1605" w:hangingChars="698"/>
              <w:rPr>
                <w:rFonts w:hint="eastAsia" w:ascii="仿宋_GB2312" w:eastAsia="仿宋_GB2312" w:cs="仿宋"/>
                <w:b/>
                <w:spacing w:val="-5"/>
                <w:sz w:val="24"/>
                <w:highlight w:val="none"/>
                <w:lang w:bidi="he-IL"/>
              </w:rPr>
            </w:pPr>
            <w:r>
              <w:rPr>
                <w:rFonts w:hint="eastAsia" w:ascii="仿宋_GB2312" w:eastAsia="仿宋_GB2312" w:cs="仿宋"/>
                <w:spacing w:val="-5"/>
                <w:sz w:val="24"/>
                <w:highlight w:val="none"/>
                <w:lang w:bidi="he-IL"/>
              </w:rPr>
              <w:t>乙方（盖章）：</w:t>
            </w:r>
            <w:r>
              <w:rPr>
                <w:rFonts w:hint="eastAsia" w:ascii="仿宋_GB2312" w:eastAsia="仿宋_GB2312" w:cs="仿宋"/>
                <w:b/>
                <w:spacing w:val="-5"/>
                <w:sz w:val="24"/>
                <w:highlight w:val="none"/>
                <w:lang w:bidi="he-IL"/>
              </w:rPr>
              <w:t xml:space="preserve"> </w:t>
            </w:r>
          </w:p>
        </w:tc>
      </w:tr>
      <w:tr w14:paraId="6256D901">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922" w:hRule="atLeast"/>
          <w:jc w:val="center"/>
        </w:trPr>
        <w:tc>
          <w:tcPr>
            <w:tcW w:w="5399" w:type="dxa"/>
            <w:noWrap w:val="0"/>
            <w:vAlign w:val="center"/>
          </w:tcPr>
          <w:p w14:paraId="1A0D45A7">
            <w:pPr>
              <w:shd w:val="clear"/>
              <w:spacing w:line="360" w:lineRule="auto"/>
              <w:ind w:right="348" w:rightChars="145"/>
              <w:rPr>
                <w:rFonts w:hint="eastAsia" w:ascii="仿宋_GB2312" w:eastAsia="仿宋_GB2312" w:cs="仿宋"/>
                <w:sz w:val="24"/>
                <w:highlight w:val="none"/>
              </w:rPr>
            </w:pPr>
            <w:r>
              <w:rPr>
                <w:rFonts w:hint="eastAsia" w:ascii="仿宋_GB2312" w:eastAsia="仿宋_GB2312" w:cs="仿宋"/>
                <w:sz w:val="24"/>
                <w:highlight w:val="none"/>
              </w:rPr>
              <w:t xml:space="preserve">委托代理人（签字）： </w:t>
            </w:r>
          </w:p>
        </w:tc>
        <w:tc>
          <w:tcPr>
            <w:tcW w:w="4476" w:type="dxa"/>
            <w:noWrap w:val="0"/>
            <w:vAlign w:val="center"/>
          </w:tcPr>
          <w:p w14:paraId="078D43D4">
            <w:pPr>
              <w:shd w:val="clear"/>
              <w:spacing w:line="360" w:lineRule="auto"/>
              <w:ind w:right="348" w:rightChars="145"/>
              <w:rPr>
                <w:rFonts w:hint="eastAsia" w:ascii="仿宋_GB2312" w:eastAsia="仿宋_GB2312" w:cs="仿宋"/>
                <w:sz w:val="24"/>
                <w:highlight w:val="none"/>
              </w:rPr>
            </w:pPr>
            <w:r>
              <w:rPr>
                <w:rFonts w:hint="eastAsia" w:ascii="仿宋_GB2312" w:eastAsia="仿宋_GB2312" w:cs="仿宋"/>
                <w:sz w:val="24"/>
                <w:highlight w:val="none"/>
              </w:rPr>
              <w:t>委托代理人（签字）：</w:t>
            </w:r>
          </w:p>
        </w:tc>
      </w:tr>
      <w:tr w14:paraId="6DFA12E2">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noWrap w:val="0"/>
            <w:vAlign w:val="center"/>
          </w:tcPr>
          <w:p w14:paraId="74443FE0">
            <w:pPr>
              <w:shd w:val="clear"/>
              <w:spacing w:line="360" w:lineRule="auto"/>
              <w:ind w:right="348" w:rightChars="145"/>
              <w:rPr>
                <w:rFonts w:hint="eastAsia" w:ascii="仿宋_GB2312" w:eastAsia="仿宋_GB2312" w:cs="仿宋"/>
                <w:sz w:val="24"/>
                <w:highlight w:val="none"/>
              </w:rPr>
            </w:pPr>
            <w:r>
              <w:rPr>
                <w:rFonts w:hint="eastAsia" w:ascii="仿宋_GB2312" w:eastAsia="仿宋_GB2312" w:cs="仿宋"/>
                <w:sz w:val="24"/>
                <w:highlight w:val="none"/>
              </w:rPr>
              <w:t>开户行: 中国民生银行济南章丘支行</w:t>
            </w:r>
          </w:p>
        </w:tc>
        <w:tc>
          <w:tcPr>
            <w:tcW w:w="4476" w:type="dxa"/>
            <w:noWrap w:val="0"/>
            <w:vAlign w:val="center"/>
          </w:tcPr>
          <w:p w14:paraId="3702FA65">
            <w:pPr>
              <w:keepLines/>
              <w:shd w:val="clear"/>
              <w:tabs>
                <w:tab w:val="left" w:pos="720"/>
                <w:tab w:val="left" w:pos="3780"/>
                <w:tab w:val="left" w:pos="4500"/>
                <w:tab w:val="right" w:pos="8640"/>
              </w:tabs>
              <w:spacing w:line="360" w:lineRule="auto"/>
              <w:rPr>
                <w:rFonts w:hint="eastAsia" w:ascii="仿宋_GB2312" w:eastAsia="仿宋_GB2312" w:cs="仿宋"/>
                <w:spacing w:val="-5"/>
                <w:sz w:val="24"/>
                <w:highlight w:val="none"/>
                <w:lang w:bidi="he-IL"/>
              </w:rPr>
            </w:pPr>
            <w:r>
              <w:rPr>
                <w:rFonts w:hint="eastAsia" w:ascii="仿宋_GB2312" w:eastAsia="仿宋_GB2312" w:cs="仿宋"/>
                <w:spacing w:val="-5"/>
                <w:sz w:val="24"/>
                <w:highlight w:val="none"/>
                <w:lang w:bidi="he-IL"/>
              </w:rPr>
              <w:t>开户行:</w:t>
            </w:r>
            <w:r>
              <w:rPr>
                <w:rFonts w:hint="eastAsia" w:ascii="仿宋_GB2312" w:eastAsia="仿宋_GB2312"/>
                <w:sz w:val="24"/>
                <w:highlight w:val="none"/>
              </w:rPr>
              <w:t xml:space="preserve"> </w:t>
            </w:r>
          </w:p>
        </w:tc>
      </w:tr>
      <w:tr w14:paraId="644DD106">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noWrap w:val="0"/>
            <w:vAlign w:val="center"/>
          </w:tcPr>
          <w:p w14:paraId="533B9EF1">
            <w:pPr>
              <w:shd w:val="clear"/>
              <w:spacing w:line="360" w:lineRule="auto"/>
              <w:ind w:right="348" w:rightChars="145"/>
              <w:rPr>
                <w:rFonts w:hint="eastAsia" w:ascii="仿宋_GB2312" w:eastAsia="仿宋_GB2312" w:cs="仿宋"/>
                <w:sz w:val="24"/>
                <w:highlight w:val="none"/>
              </w:rPr>
            </w:pPr>
            <w:r>
              <w:rPr>
                <w:rFonts w:hint="eastAsia" w:ascii="仿宋_GB2312" w:eastAsia="仿宋_GB2312" w:cs="仿宋"/>
                <w:sz w:val="24"/>
                <w:highlight w:val="none"/>
              </w:rPr>
              <w:t>账号：609055119</w:t>
            </w:r>
          </w:p>
        </w:tc>
        <w:tc>
          <w:tcPr>
            <w:tcW w:w="4476" w:type="dxa"/>
            <w:noWrap w:val="0"/>
            <w:vAlign w:val="center"/>
          </w:tcPr>
          <w:p w14:paraId="689F35A4">
            <w:pPr>
              <w:shd w:val="clear"/>
              <w:spacing w:line="240" w:lineRule="exact"/>
              <w:rPr>
                <w:rFonts w:hint="eastAsia" w:ascii="仿宋_GB2312" w:eastAsia="仿宋_GB2312" w:cs="仿宋"/>
                <w:spacing w:val="-5"/>
                <w:sz w:val="24"/>
                <w:highlight w:val="none"/>
                <w:lang w:bidi="he-IL"/>
              </w:rPr>
            </w:pPr>
            <w:r>
              <w:rPr>
                <w:rFonts w:hint="eastAsia" w:ascii="仿宋_GB2312" w:eastAsia="仿宋_GB2312" w:cs="仿宋"/>
                <w:sz w:val="24"/>
                <w:highlight w:val="none"/>
              </w:rPr>
              <w:t>账号</w:t>
            </w:r>
            <w:r>
              <w:rPr>
                <w:rFonts w:hint="eastAsia" w:ascii="仿宋_GB2312" w:eastAsia="仿宋_GB2312" w:cs="仿宋"/>
                <w:spacing w:val="-5"/>
                <w:sz w:val="24"/>
                <w:highlight w:val="none"/>
                <w:lang w:bidi="he-IL"/>
              </w:rPr>
              <w:t>：</w:t>
            </w:r>
          </w:p>
        </w:tc>
      </w:tr>
      <w:tr w14:paraId="11A9FDE9">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noWrap w:val="0"/>
            <w:vAlign w:val="center"/>
          </w:tcPr>
          <w:p w14:paraId="6EAB9626">
            <w:pPr>
              <w:keepLines/>
              <w:shd w:val="clear"/>
              <w:tabs>
                <w:tab w:val="left" w:pos="720"/>
                <w:tab w:val="left" w:pos="4320"/>
                <w:tab w:val="left" w:pos="5040"/>
                <w:tab w:val="right" w:pos="8640"/>
              </w:tabs>
              <w:spacing w:line="360" w:lineRule="auto"/>
              <w:rPr>
                <w:rFonts w:hint="eastAsia" w:ascii="仿宋_GB2312" w:eastAsia="仿宋_GB2312" w:cs="仿宋"/>
                <w:spacing w:val="-5"/>
                <w:sz w:val="24"/>
                <w:highlight w:val="none"/>
                <w:lang w:bidi="he-IL"/>
              </w:rPr>
            </w:pPr>
            <w:r>
              <w:rPr>
                <w:rFonts w:hint="eastAsia" w:ascii="仿宋_GB2312" w:eastAsia="仿宋_GB2312" w:cs="仿宋"/>
                <w:spacing w:val="-5"/>
                <w:sz w:val="24"/>
                <w:highlight w:val="none"/>
                <w:lang w:bidi="he-IL"/>
              </w:rPr>
              <w:t>税务登记证号：</w:t>
            </w:r>
            <w:r>
              <w:rPr>
                <w:rFonts w:hint="eastAsia" w:ascii="仿宋_GB2312" w:eastAsia="仿宋_GB2312" w:cs="仿宋"/>
                <w:sz w:val="24"/>
                <w:highlight w:val="none"/>
              </w:rPr>
              <w:t>91370181MA3MJQRU4Y</w:t>
            </w:r>
          </w:p>
        </w:tc>
        <w:tc>
          <w:tcPr>
            <w:tcW w:w="4476" w:type="dxa"/>
            <w:noWrap w:val="0"/>
            <w:vAlign w:val="center"/>
          </w:tcPr>
          <w:p w14:paraId="2A3C1B91">
            <w:pPr>
              <w:keepLines/>
              <w:shd w:val="clear"/>
              <w:tabs>
                <w:tab w:val="left" w:pos="720"/>
                <w:tab w:val="left" w:pos="4320"/>
                <w:tab w:val="left" w:pos="5040"/>
                <w:tab w:val="right" w:pos="8640"/>
              </w:tabs>
              <w:spacing w:line="360" w:lineRule="auto"/>
              <w:rPr>
                <w:rFonts w:hint="eastAsia" w:ascii="仿宋_GB2312" w:eastAsia="仿宋_GB2312" w:cs="仿宋"/>
                <w:spacing w:val="-5"/>
                <w:sz w:val="24"/>
                <w:highlight w:val="none"/>
                <w:lang w:bidi="he-IL"/>
              </w:rPr>
            </w:pPr>
            <w:r>
              <w:rPr>
                <w:rFonts w:hint="eastAsia" w:ascii="仿宋_GB2312" w:eastAsia="仿宋_GB2312" w:cs="仿宋"/>
                <w:spacing w:val="-5"/>
                <w:sz w:val="24"/>
                <w:highlight w:val="none"/>
                <w:lang w:bidi="he-IL"/>
              </w:rPr>
              <w:t>税务登记证号：</w:t>
            </w:r>
          </w:p>
        </w:tc>
      </w:tr>
      <w:tr w14:paraId="32FAAB77">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noWrap w:val="0"/>
            <w:vAlign w:val="center"/>
          </w:tcPr>
          <w:p w14:paraId="1384806B">
            <w:pPr>
              <w:keepLines/>
              <w:shd w:val="clear"/>
              <w:tabs>
                <w:tab w:val="left" w:pos="720"/>
                <w:tab w:val="left" w:pos="4320"/>
                <w:tab w:val="left" w:pos="5040"/>
                <w:tab w:val="right" w:pos="8640"/>
              </w:tabs>
              <w:spacing w:line="360" w:lineRule="auto"/>
              <w:rPr>
                <w:rFonts w:hint="eastAsia" w:ascii="仿宋_GB2312" w:eastAsia="仿宋_GB2312" w:cs="仿宋"/>
                <w:b/>
                <w:spacing w:val="-10"/>
                <w:sz w:val="24"/>
                <w:highlight w:val="none"/>
                <w:lang w:bidi="he-IL"/>
              </w:rPr>
            </w:pPr>
            <w:r>
              <w:rPr>
                <w:rFonts w:hint="eastAsia" w:ascii="仿宋_GB2312" w:eastAsia="仿宋_GB2312" w:cs="仿宋"/>
                <w:spacing w:val="-5"/>
                <w:sz w:val="24"/>
                <w:highlight w:val="none"/>
                <w:lang w:bidi="he-IL"/>
              </w:rPr>
              <w:t>地址：</w:t>
            </w:r>
            <w:r>
              <w:rPr>
                <w:rFonts w:hint="eastAsia" w:ascii="仿宋_GB2312" w:eastAsia="仿宋_GB2312" w:cs="仿宋"/>
                <w:sz w:val="24"/>
                <w:highlight w:val="none"/>
              </w:rPr>
              <w:t>山东省济南市章丘区官庄街道青野村东</w:t>
            </w:r>
          </w:p>
        </w:tc>
        <w:tc>
          <w:tcPr>
            <w:tcW w:w="4476" w:type="dxa"/>
            <w:noWrap w:val="0"/>
            <w:vAlign w:val="top"/>
          </w:tcPr>
          <w:p w14:paraId="17BFF126">
            <w:pPr>
              <w:keepLines/>
              <w:shd w:val="clear"/>
              <w:tabs>
                <w:tab w:val="left" w:pos="720"/>
                <w:tab w:val="left" w:pos="4320"/>
                <w:tab w:val="left" w:pos="5040"/>
                <w:tab w:val="right" w:pos="8640"/>
              </w:tabs>
              <w:spacing w:line="360" w:lineRule="auto"/>
              <w:rPr>
                <w:rFonts w:hint="eastAsia" w:ascii="仿宋_GB2312" w:eastAsia="仿宋_GB2312" w:cs="仿宋"/>
                <w:b/>
                <w:spacing w:val="-10"/>
                <w:sz w:val="24"/>
                <w:highlight w:val="none"/>
                <w:lang w:bidi="he-IL"/>
              </w:rPr>
            </w:pPr>
            <w:r>
              <w:rPr>
                <w:rFonts w:hint="eastAsia" w:ascii="仿宋_GB2312" w:eastAsia="仿宋_GB2312" w:cs="仿宋"/>
                <w:spacing w:val="-5"/>
                <w:sz w:val="24"/>
                <w:highlight w:val="none"/>
                <w:lang w:bidi="he-IL"/>
              </w:rPr>
              <w:t>地址：</w:t>
            </w:r>
            <w:r>
              <w:rPr>
                <w:rFonts w:hint="eastAsia" w:ascii="仿宋_GB2312" w:eastAsia="仿宋_GB2312" w:cs="仿宋"/>
                <w:b/>
                <w:spacing w:val="-10"/>
                <w:sz w:val="24"/>
                <w:highlight w:val="none"/>
                <w:lang w:bidi="he-IL"/>
              </w:rPr>
              <w:t xml:space="preserve"> </w:t>
            </w:r>
          </w:p>
        </w:tc>
      </w:tr>
      <w:tr w14:paraId="0842E4D1">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9875" w:type="dxa"/>
            <w:gridSpan w:val="2"/>
            <w:noWrap w:val="0"/>
            <w:vAlign w:val="center"/>
          </w:tcPr>
          <w:p w14:paraId="13E22B69">
            <w:pPr>
              <w:keepLines/>
              <w:shd w:val="clear"/>
              <w:tabs>
                <w:tab w:val="left" w:pos="720"/>
                <w:tab w:val="left" w:pos="4320"/>
                <w:tab w:val="left" w:pos="5040"/>
                <w:tab w:val="right" w:pos="8640"/>
              </w:tabs>
              <w:spacing w:line="360" w:lineRule="auto"/>
              <w:jc w:val="center"/>
              <w:rPr>
                <w:rFonts w:hint="eastAsia" w:ascii="仿宋_GB2312" w:eastAsia="仿宋_GB2312" w:cs="仿宋"/>
                <w:spacing w:val="-5"/>
                <w:sz w:val="24"/>
                <w:highlight w:val="none"/>
                <w:lang w:bidi="he-IL"/>
              </w:rPr>
            </w:pPr>
            <w:r>
              <w:rPr>
                <w:rFonts w:hint="eastAsia" w:ascii="仿宋_GB2312" w:eastAsia="仿宋_GB2312" w:cs="仿宋"/>
                <w:spacing w:val="-5"/>
                <w:sz w:val="24"/>
                <w:highlight w:val="none"/>
                <w:lang w:bidi="he-IL"/>
              </w:rPr>
              <w:t xml:space="preserve">                                签订日期：   年   月   日</w:t>
            </w:r>
          </w:p>
        </w:tc>
      </w:tr>
    </w:tbl>
    <w:p w14:paraId="3AB2076E">
      <w:pPr>
        <w:pStyle w:val="59"/>
        <w:shd w:val="clear"/>
        <w:ind w:left="0" w:leftChars="0" w:firstLine="482" w:firstLineChars="200"/>
        <w:jc w:val="left"/>
        <w:outlineLvl w:val="9"/>
        <w:rPr>
          <w:szCs w:val="22"/>
          <w:highlight w:val="none"/>
        </w:rPr>
      </w:pPr>
      <w:r>
        <w:rPr>
          <w:rFonts w:hint="eastAsia" w:cs="仿宋"/>
          <w:szCs w:val="20"/>
          <w:highlight w:val="none"/>
        </w:rPr>
        <w:t>注：</w:t>
      </w:r>
      <w:r>
        <w:rPr>
          <w:rFonts w:hint="eastAsia"/>
          <w:szCs w:val="22"/>
          <w:highlight w:val="none"/>
        </w:rPr>
        <w:t>招标文件中的合同条款为主要条款，双方的权利义务以未来签订的商务合同为准。未来签订的商务合同的条款存在与本招标文件不一致的地方，但不会对实质性内容进行改变。</w:t>
      </w:r>
    </w:p>
    <w:bookmarkEnd w:id="216"/>
    <w:p w14:paraId="1B5CCF35">
      <w:pPr>
        <w:pStyle w:val="59"/>
        <w:shd w:val="clear"/>
        <w:outlineLvl w:val="9"/>
        <w:rPr>
          <w:rFonts w:hint="eastAsia"/>
          <w:highlight w:val="none"/>
        </w:rPr>
      </w:pPr>
      <w:bookmarkStart w:id="233" w:name="_Toc508871751"/>
    </w:p>
    <w:p w14:paraId="7E88A62B">
      <w:pPr>
        <w:pStyle w:val="59"/>
        <w:shd w:val="clear"/>
        <w:outlineLvl w:val="9"/>
        <w:rPr>
          <w:rFonts w:hint="eastAsia"/>
          <w:highlight w:val="none"/>
        </w:rPr>
      </w:pPr>
    </w:p>
    <w:p w14:paraId="4079E2D4">
      <w:pPr>
        <w:pStyle w:val="59"/>
        <w:shd w:val="clear"/>
        <w:outlineLvl w:val="9"/>
        <w:rPr>
          <w:rFonts w:hint="eastAsia"/>
          <w:highlight w:val="none"/>
        </w:rPr>
      </w:pPr>
    </w:p>
    <w:p w14:paraId="5D7AD777">
      <w:pPr>
        <w:pStyle w:val="59"/>
        <w:shd w:val="clear"/>
        <w:outlineLvl w:val="9"/>
        <w:rPr>
          <w:rFonts w:hint="eastAsia"/>
          <w:highlight w:val="none"/>
        </w:rPr>
      </w:pPr>
    </w:p>
    <w:bookmarkEnd w:id="233"/>
    <w:p w14:paraId="12CA3A52">
      <w:pPr>
        <w:pStyle w:val="2"/>
        <w:rPr>
          <w:rFonts w:hint="eastAsia"/>
        </w:rPr>
      </w:pPr>
    </w:p>
    <w:p w14:paraId="6429526E">
      <w:pPr>
        <w:pStyle w:val="59"/>
        <w:shd w:val="clear"/>
        <w:outlineLvl w:val="9"/>
        <w:rPr>
          <w:rFonts w:hint="eastAsia" w:ascii="仿宋_GB2312" w:eastAsia="仿宋_GB2312"/>
          <w:highlight w:val="none"/>
        </w:rPr>
      </w:pPr>
    </w:p>
    <w:p w14:paraId="331FAAFD">
      <w:pPr>
        <w:shd w:val="clear"/>
        <w:rPr>
          <w:rFonts w:hint="eastAsia" w:ascii="仿宋_GB2312" w:eastAsia="仿宋_GB2312" w:cs="仿宋"/>
          <w:sz w:val="28"/>
          <w:szCs w:val="28"/>
          <w:highlight w:val="none"/>
        </w:rPr>
      </w:pPr>
      <w:r>
        <w:rPr>
          <w:rFonts w:ascii="仿宋_GB2312" w:eastAsia="仿宋_GB2312"/>
          <w:highlight w:val="none"/>
        </w:rPr>
        <w:br w:type="page"/>
      </w:r>
    </w:p>
    <w:p w14:paraId="4FEC06E0">
      <w:pPr>
        <w:shd w:val="clear"/>
        <w:snapToGrid w:val="0"/>
        <w:spacing w:line="420" w:lineRule="exact"/>
        <w:ind w:firstLine="506" w:firstLineChars="181"/>
        <w:jc w:val="left"/>
        <w:outlineLvl w:val="0"/>
        <w:rPr>
          <w:rFonts w:hint="eastAsia" w:ascii="仿宋_GB2312" w:eastAsia="仿宋_GB2312" w:cs="仿宋"/>
          <w:sz w:val="28"/>
          <w:szCs w:val="28"/>
          <w:highlight w:val="none"/>
        </w:rPr>
      </w:pPr>
      <w:bookmarkStart w:id="234" w:name="_Toc10917"/>
      <w:r>
        <w:rPr>
          <w:rFonts w:hint="eastAsia" w:ascii="仿宋_GB2312" w:eastAsia="仿宋_GB2312" w:cs="仿宋"/>
          <w:sz w:val="28"/>
          <w:szCs w:val="28"/>
          <w:highlight w:val="none"/>
        </w:rPr>
        <w:t>附件</w:t>
      </w:r>
      <w:bookmarkEnd w:id="234"/>
      <w:r>
        <w:rPr>
          <w:rFonts w:hint="eastAsia" w:ascii="仿宋_GB2312" w:eastAsia="仿宋_GB2312" w:cs="仿宋"/>
          <w:sz w:val="28"/>
          <w:szCs w:val="28"/>
          <w:highlight w:val="none"/>
        </w:rPr>
        <w:t xml:space="preserve">             </w:t>
      </w:r>
    </w:p>
    <w:p w14:paraId="7ECCF0AF">
      <w:pPr>
        <w:keepNext w:val="0"/>
        <w:pageBreakBefore w:val="0"/>
        <w:shd w:val="clear"/>
        <w:kinsoku/>
        <w:overflowPunct/>
        <w:topLinePunct w:val="0"/>
        <w:bidi w:val="0"/>
        <w:spacing w:line="240" w:lineRule="exact"/>
        <w:jc w:val="center"/>
        <w:textAlignment w:val="auto"/>
        <w:rPr>
          <w:rFonts w:hint="eastAsia" w:ascii="黑体" w:hAnsi="宋体" w:eastAsia="黑体" w:cs="Times New Roman"/>
          <w:b/>
          <w:bCs/>
          <w:kern w:val="0"/>
          <w:sz w:val="24"/>
          <w:szCs w:val="24"/>
          <w:highlight w:val="none"/>
          <w:lang w:val="en-US" w:eastAsia="zh-CN" w:bidi="ar-SA"/>
        </w:rPr>
      </w:pPr>
      <w:r>
        <w:rPr>
          <w:rFonts w:hint="eastAsia" w:ascii="黑体" w:hAnsi="宋体" w:eastAsia="黑体" w:cs="Times New Roman"/>
          <w:b/>
          <w:bCs/>
          <w:kern w:val="0"/>
          <w:sz w:val="24"/>
          <w:szCs w:val="24"/>
          <w:highlight w:val="none"/>
          <w:lang w:val="en-US" w:eastAsia="zh-CN" w:bidi="ar-SA"/>
        </w:rPr>
        <w:t>廉洁协议书</w:t>
      </w:r>
    </w:p>
    <w:p w14:paraId="506A448C">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为规范甲乙双方在业务交往活动中的行为，严防在业务活动中发生违规违纪违法行为，经双方协商，达成廉洁协议如下：</w:t>
      </w:r>
    </w:p>
    <w:p w14:paraId="1BB68E6E">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第一条 甲乙双方共同责任</w:t>
      </w:r>
    </w:p>
    <w:p w14:paraId="3B899E5A">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1、严格遵守国家的法律法规及廉政建设有关规定。</w:t>
      </w:r>
    </w:p>
    <w:p w14:paraId="303927F2">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2、共同营造廉洁、诚信、公平、公正的业务交往环境。</w:t>
      </w:r>
    </w:p>
    <w:p w14:paraId="153A3238">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3、加强对有关人员的管理和教育，自觉抵制不廉洁行为。</w:t>
      </w:r>
    </w:p>
    <w:p w14:paraId="6A050E82">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4、发现对方及及其人员在业务活动中有违反廉政规定的行为，有及时要求对方纠正，并向纪检监察机关或司法机关举报的权利和义务。</w:t>
      </w:r>
    </w:p>
    <w:p w14:paraId="7D9807EC">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第二条 甲方及其人员的责任</w:t>
      </w:r>
    </w:p>
    <w:p w14:paraId="2F8E8337">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1、禁止索要或接受乙方及其相关单位和人员提供的回扣、礼金、有价证劵、支付凭证、贵重物品等。</w:t>
      </w:r>
    </w:p>
    <w:p w14:paraId="59A28C06">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2、禁止在乙方及其相关单位报销任何应由甲方或个人支付的费用。</w:t>
      </w:r>
    </w:p>
    <w:p w14:paraId="36478299">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3、禁止在乙方及其相关单位投资入股，禁止向乙方单位及人员借款或委托买卖股票、债券等。</w:t>
      </w:r>
    </w:p>
    <w:p w14:paraId="6CFAE2A4">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4、禁止暗示、要求和接受乙方及其相关单位为其购买或装修住房，为婚丧嫁娶、配偶和子女的工作安排或上学等提供方便。</w:t>
      </w:r>
    </w:p>
    <w:p w14:paraId="1B0BA007">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5、禁止接受乙方及其相关单位安排的宴请以及旅游、健身等娱乐活动。</w:t>
      </w:r>
    </w:p>
    <w:p w14:paraId="054E7F38">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6、禁止接受乙方及其相关单位购置或提供的通讯工具、交通工具和高档办公用品。</w:t>
      </w:r>
    </w:p>
    <w:p w14:paraId="5571EF78">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7、禁止通过乙方及其相关单位为其配偶、子女及他人谋取不正当利益。</w:t>
      </w:r>
    </w:p>
    <w:p w14:paraId="4772BAB0">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8、禁止在乙方或乙方相关单位兼职和领取兼职工资及报酬；禁止利用甲方的商业秘密谋取个人私利。</w:t>
      </w:r>
    </w:p>
    <w:p w14:paraId="559CDBC3">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9、禁止利用职权和工作之便向乙方提出上述各项禁止事项之外其它违背党规党纪、国家法律法规和本公司廉洁自律有关规定的事项或要求。</w:t>
      </w:r>
    </w:p>
    <w:p w14:paraId="68EA5A6A">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b w:val="0"/>
          <w:bCs w:val="0"/>
          <w:kern w:val="0"/>
          <w:sz w:val="21"/>
          <w:szCs w:val="21"/>
          <w:highlight w:val="none"/>
        </w:rPr>
      </w:pPr>
      <w:r>
        <w:rPr>
          <w:rFonts w:hint="eastAsia" w:ascii="宋体" w:hAnsi="宋体" w:eastAsia="宋体" w:cs="宋体"/>
          <w:kern w:val="0"/>
          <w:sz w:val="21"/>
          <w:szCs w:val="21"/>
          <w:highlight w:val="none"/>
        </w:rPr>
        <w:t>10、</w:t>
      </w:r>
      <w:r>
        <w:rPr>
          <w:rFonts w:hint="eastAsia" w:ascii="宋体" w:hAnsi="宋体" w:eastAsia="宋体" w:cs="宋体"/>
          <w:b w:val="0"/>
          <w:bCs w:val="0"/>
          <w:kern w:val="0"/>
          <w:sz w:val="21"/>
          <w:szCs w:val="21"/>
          <w:highlight w:val="none"/>
        </w:rPr>
        <w:t>如乙方有知悉/怀疑甲方员工有违反上述规定的，欢迎与甲方纪委办联系。甲方设定专用电话</w:t>
      </w:r>
      <w:r>
        <w:rPr>
          <w:rFonts w:hint="eastAsia" w:ascii="宋体" w:hAnsi="宋体" w:eastAsia="宋体" w:cs="宋体"/>
          <w:b w:val="0"/>
          <w:bCs w:val="0"/>
          <w:kern w:val="0"/>
          <w:sz w:val="21"/>
          <w:szCs w:val="21"/>
          <w:highlight w:val="none"/>
          <w:lang w:val="en-US" w:eastAsia="zh-CN"/>
        </w:rPr>
        <w:t>0531-83790163</w:t>
      </w:r>
      <w:r>
        <w:rPr>
          <w:rFonts w:hint="eastAsia" w:ascii="宋体" w:hAnsi="宋体" w:eastAsia="宋体" w:cs="宋体"/>
          <w:b w:val="0"/>
          <w:bCs w:val="0"/>
          <w:kern w:val="0"/>
          <w:sz w:val="21"/>
          <w:szCs w:val="21"/>
          <w:highlight w:val="none"/>
        </w:rPr>
        <w:t>接受乙方的投诉</w:t>
      </w:r>
      <w:r>
        <w:rPr>
          <w:rFonts w:hint="eastAsia" w:ascii="宋体" w:hAnsi="宋体" w:eastAsia="宋体" w:cs="宋体"/>
          <w:b w:val="0"/>
          <w:bCs w:val="0"/>
          <w:kern w:val="0"/>
          <w:sz w:val="21"/>
          <w:szCs w:val="21"/>
          <w:highlight w:val="none"/>
          <w:lang w:eastAsia="zh-CN"/>
        </w:rPr>
        <w:t>。</w:t>
      </w:r>
      <w:r>
        <w:rPr>
          <w:rFonts w:hint="eastAsia" w:ascii="宋体" w:hAnsi="宋体" w:eastAsia="宋体" w:cs="宋体"/>
          <w:b w:val="0"/>
          <w:bCs w:val="0"/>
          <w:kern w:val="0"/>
          <w:sz w:val="21"/>
          <w:szCs w:val="21"/>
          <w:highlight w:val="none"/>
        </w:rPr>
        <w:t>甲方会对所有信息提供者及所提供的全部资料严格保密。</w:t>
      </w:r>
    </w:p>
    <w:p w14:paraId="110DDF8B">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第三条 乙方及其人员责任</w:t>
      </w:r>
    </w:p>
    <w:p w14:paraId="5E15CB4B">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1、禁止向甲方及其人员提供回扣、礼金、有价证劵、支付凭证、贵重物品等。</w:t>
      </w:r>
    </w:p>
    <w:p w14:paraId="4EB9C2C1">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2、禁止为甲方及其人员报销应由甲方或甲方个人支付的费用。</w:t>
      </w:r>
    </w:p>
    <w:p w14:paraId="61C51A3A">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3、禁止为甲方及其人员在乙方投资入股、个人借款等提供方便。</w:t>
      </w:r>
    </w:p>
    <w:p w14:paraId="7087F41D">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4、禁止为甲方及其人员购买或装修住房，为婚丧嫁娶、配偶和子女工作安排或上学等提供方便。</w:t>
      </w:r>
    </w:p>
    <w:p w14:paraId="1FB2A6D4">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5、禁止为甲方及其人员安排宴请以及旅游、健身、娱乐等活动。</w:t>
      </w:r>
    </w:p>
    <w:p w14:paraId="76D7AA89">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6、禁止为甲方及其人员购置或提供通讯工具、交通工具和高档办公用品。</w:t>
      </w:r>
    </w:p>
    <w:p w14:paraId="66F91067">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7、禁止为甲方及其人员的配偶、子女及其它亲属谋取不正当利益提供方便。</w:t>
      </w:r>
    </w:p>
    <w:p w14:paraId="6A713857">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8、禁止安排甲方人员在乙方或乙方相关企业兼职和领取兼职工资及报酬；禁止向甲方人员打探有关涉及甲方的商业秘密。</w:t>
      </w:r>
    </w:p>
    <w:p w14:paraId="432C6633">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9、甲方对涉嫌与甲方有关的不廉洁行为进行调查时，乙方有配合甲方提供证据、作证的义务</w:t>
      </w:r>
      <w:r>
        <w:rPr>
          <w:rFonts w:hint="eastAsia" w:ascii="宋体" w:hAnsi="宋体" w:eastAsia="宋体" w:cs="宋体"/>
          <w:kern w:val="0"/>
          <w:sz w:val="21"/>
          <w:szCs w:val="21"/>
          <w:highlight w:val="none"/>
          <w:lang w:eastAsia="zh-CN"/>
        </w:rPr>
        <w:t>。</w:t>
      </w:r>
    </w:p>
    <w:p w14:paraId="228DC1D2">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第四条 违约责任</w:t>
      </w:r>
    </w:p>
    <w:p w14:paraId="104CC4D2">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1、甲方及其人员有违反本协议第一条、第二条规定的，按照管理权限，依据有关纪律规定给予有关人员纪律处分或组织处理；涉嫌犯罪的，移交司法机关追究刑事责任。</w:t>
      </w:r>
    </w:p>
    <w:p w14:paraId="734D47E7">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乙方及其人员有违反本协议第一条、第三条规定的，甲方有权依据本协议单方决定变更甲、乙双方所有合同中关于数额、履行期限等相关权利与义务的条款，且有权解除与乙方的所有协议、合同并不承担任何违约责任。甲方并有权要求乙方赔偿由此造成的甲方损失（包括直接损失、可得利益损失、律师费等）。涉嫌犯罪的，移交司法机关追究刑事责任。</w:t>
      </w:r>
    </w:p>
    <w:p w14:paraId="69B3E799">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第五条 本协议</w:t>
      </w:r>
      <w:r>
        <w:rPr>
          <w:rFonts w:hint="eastAsia" w:cs="宋体"/>
          <w:kern w:val="0"/>
          <w:sz w:val="21"/>
          <w:szCs w:val="21"/>
          <w:highlight w:val="none"/>
          <w:lang w:eastAsia="zh-CN"/>
        </w:rPr>
        <w:t>随主合同</w:t>
      </w:r>
      <w:r>
        <w:rPr>
          <w:rFonts w:hint="eastAsia" w:ascii="宋体" w:hAnsi="宋体" w:eastAsia="宋体" w:cs="宋体"/>
          <w:kern w:val="0"/>
          <w:sz w:val="21"/>
          <w:szCs w:val="21"/>
          <w:highlight w:val="none"/>
        </w:rPr>
        <w:t>经双方签署后生效</w:t>
      </w:r>
    </w:p>
    <w:p w14:paraId="1BAE7F6E">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甲乙双方通过招标或其它方式签订业务合同时，必须签署本协议。本协议作为业务合同的附件，与合同具有同等效力；如双方未签订合同，本协议独立有效。</w:t>
      </w:r>
    </w:p>
    <w:p w14:paraId="7FAEE37E">
      <w:pPr>
        <w:keepNext w:val="0"/>
        <w:pageBreakBefore w:val="0"/>
        <w:widowControl w:val="0"/>
        <w:shd w:val="clear"/>
        <w:kinsoku/>
        <w:overflowPunct/>
        <w:topLinePunct w:val="0"/>
        <w:bidi w:val="0"/>
        <w:spacing w:line="24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第六条 甲乙双方及其人员在合同履行完毕后，发现在合同执行期间有违反本协议规定的行为，仍按本协议规定处理。</w:t>
      </w:r>
    </w:p>
    <w:p w14:paraId="027195FC">
      <w:pPr>
        <w:pStyle w:val="57"/>
        <w:widowControl/>
        <w:shd w:val="clear"/>
        <w:spacing w:beforeLines="0" w:line="300" w:lineRule="auto"/>
        <w:outlineLvl w:val="9"/>
        <w:rPr>
          <w:rFonts w:hint="eastAsia"/>
          <w:color w:val="000000"/>
          <w:sz w:val="36"/>
          <w:szCs w:val="36"/>
          <w:highlight w:val="none"/>
        </w:rPr>
      </w:pPr>
    </w:p>
    <w:p w14:paraId="2098FBC9">
      <w:pPr>
        <w:pStyle w:val="57"/>
        <w:widowControl/>
        <w:shd w:val="clear"/>
        <w:spacing w:beforeLines="0" w:line="300" w:lineRule="auto"/>
        <w:outlineLvl w:val="9"/>
        <w:rPr>
          <w:rFonts w:hint="eastAsia"/>
          <w:color w:val="000000"/>
          <w:sz w:val="36"/>
          <w:szCs w:val="36"/>
          <w:highlight w:val="none"/>
        </w:rPr>
      </w:pPr>
    </w:p>
    <w:p w14:paraId="586E587C">
      <w:pPr>
        <w:pStyle w:val="57"/>
        <w:widowControl/>
        <w:shd w:val="clear"/>
        <w:spacing w:beforeLines="0" w:line="300" w:lineRule="auto"/>
        <w:outlineLvl w:val="9"/>
        <w:rPr>
          <w:rFonts w:hint="eastAsia"/>
          <w:color w:val="000000"/>
          <w:sz w:val="36"/>
          <w:szCs w:val="36"/>
          <w:highlight w:val="none"/>
        </w:rPr>
      </w:pPr>
    </w:p>
    <w:p w14:paraId="1E8A367B">
      <w:pPr>
        <w:pStyle w:val="57"/>
        <w:widowControl/>
        <w:shd w:val="clear"/>
        <w:spacing w:beforeLines="0" w:line="300" w:lineRule="auto"/>
        <w:outlineLvl w:val="9"/>
        <w:rPr>
          <w:rFonts w:hint="eastAsia"/>
          <w:color w:val="000000"/>
          <w:sz w:val="36"/>
          <w:szCs w:val="36"/>
          <w:highlight w:val="none"/>
        </w:rPr>
      </w:pPr>
    </w:p>
    <w:p w14:paraId="1C403F2E">
      <w:pPr>
        <w:pStyle w:val="57"/>
        <w:widowControl/>
        <w:shd w:val="clear"/>
        <w:spacing w:beforeLines="0" w:line="300" w:lineRule="auto"/>
        <w:outlineLvl w:val="9"/>
        <w:rPr>
          <w:rFonts w:hint="eastAsia"/>
          <w:color w:val="000000"/>
          <w:sz w:val="36"/>
          <w:szCs w:val="36"/>
          <w:highlight w:val="none"/>
        </w:rPr>
      </w:pPr>
    </w:p>
    <w:p w14:paraId="27883367">
      <w:pPr>
        <w:pStyle w:val="57"/>
        <w:widowControl/>
        <w:shd w:val="clear"/>
        <w:spacing w:beforeLines="0" w:line="300" w:lineRule="auto"/>
        <w:outlineLvl w:val="9"/>
        <w:rPr>
          <w:rFonts w:hint="eastAsia"/>
          <w:color w:val="000000"/>
          <w:sz w:val="36"/>
          <w:szCs w:val="36"/>
          <w:highlight w:val="none"/>
        </w:rPr>
      </w:pPr>
    </w:p>
    <w:p w14:paraId="0FDC4078">
      <w:pPr>
        <w:pStyle w:val="57"/>
        <w:widowControl/>
        <w:shd w:val="clear"/>
        <w:spacing w:beforeLines="0" w:line="300" w:lineRule="auto"/>
        <w:rPr>
          <w:color w:val="000000"/>
          <w:sz w:val="36"/>
          <w:szCs w:val="36"/>
          <w:highlight w:val="none"/>
        </w:rPr>
      </w:pPr>
      <w:bookmarkStart w:id="235" w:name="_Toc10782_WPSOffice_Level1"/>
      <w:bookmarkStart w:id="236" w:name="_Toc30849"/>
      <w:r>
        <w:rPr>
          <w:rFonts w:hint="eastAsia"/>
          <w:color w:val="000000"/>
          <w:sz w:val="36"/>
          <w:szCs w:val="36"/>
          <w:highlight w:val="none"/>
        </w:rPr>
        <w:t>第</w:t>
      </w:r>
      <w:r>
        <w:rPr>
          <w:rFonts w:hint="eastAsia"/>
          <w:color w:val="000000"/>
          <w:sz w:val="36"/>
          <w:szCs w:val="36"/>
          <w:highlight w:val="none"/>
          <w:lang w:val="en-US" w:eastAsia="zh-CN"/>
        </w:rPr>
        <w:t>六</w:t>
      </w:r>
      <w:r>
        <w:rPr>
          <w:rFonts w:hint="eastAsia"/>
          <w:color w:val="000000"/>
          <w:sz w:val="36"/>
          <w:szCs w:val="36"/>
          <w:highlight w:val="none"/>
        </w:rPr>
        <w:t>章</w:t>
      </w:r>
      <w:r>
        <w:rPr>
          <w:color w:val="000000"/>
          <w:sz w:val="36"/>
          <w:szCs w:val="36"/>
          <w:highlight w:val="none"/>
        </w:rPr>
        <w:t xml:space="preserve"> </w:t>
      </w:r>
      <w:r>
        <w:rPr>
          <w:rFonts w:hint="eastAsia"/>
          <w:color w:val="000000"/>
          <w:sz w:val="36"/>
          <w:szCs w:val="36"/>
          <w:highlight w:val="none"/>
        </w:rPr>
        <w:t>投标文件格式及内容</w:t>
      </w:r>
      <w:bookmarkEnd w:id="235"/>
      <w:bookmarkEnd w:id="236"/>
    </w:p>
    <w:p w14:paraId="70670FF3">
      <w:pPr>
        <w:shd w:val="clear"/>
        <w:autoSpaceDE w:val="0"/>
        <w:autoSpaceDN w:val="0"/>
        <w:adjustRightInd w:val="0"/>
        <w:spacing w:line="300" w:lineRule="auto"/>
        <w:ind w:firstLine="3360" w:firstLineChars="1400"/>
        <w:rPr>
          <w:rFonts w:ascii="Times New Roman" w:hAnsi="Times New Roman" w:eastAsia="黑体"/>
          <w:color w:val="000000"/>
          <w:highlight w:val="none"/>
          <w:shd w:val="clear" w:color="auto" w:fill="FFFFFF"/>
        </w:rPr>
      </w:pPr>
    </w:p>
    <w:p w14:paraId="60CC72AA">
      <w:pPr>
        <w:shd w:val="clear"/>
        <w:autoSpaceDE w:val="0"/>
        <w:autoSpaceDN w:val="0"/>
        <w:adjustRightInd w:val="0"/>
        <w:spacing w:line="300" w:lineRule="auto"/>
        <w:ind w:firstLine="6160" w:firstLineChars="1400"/>
        <w:jc w:val="right"/>
        <w:rPr>
          <w:rFonts w:ascii="Times New Roman" w:hAnsi="Times New Roman" w:eastAsia="黑体"/>
          <w:color w:val="000000"/>
          <w:sz w:val="44"/>
          <w:szCs w:val="44"/>
          <w:highlight w:val="none"/>
        </w:rPr>
      </w:pPr>
      <w:bookmarkStart w:id="237" w:name="_Toc9011_WPSOffice_Level1"/>
      <w:bookmarkStart w:id="238" w:name="_Toc27235_WPSOffice_Level1"/>
      <w:bookmarkStart w:id="239" w:name="_Toc10654_WPSOffice_Level1"/>
      <w:r>
        <w:rPr>
          <w:rFonts w:hint="eastAsia" w:ascii="Times New Roman" w:hAnsi="Times New Roman" w:eastAsia="黑体"/>
          <w:color w:val="000000"/>
          <w:sz w:val="44"/>
          <w:szCs w:val="44"/>
          <w:highlight w:val="none"/>
          <w:bdr w:val="single" w:color="auto" w:sz="4" w:space="0"/>
        </w:rPr>
        <w:t>正本</w:t>
      </w:r>
      <w:r>
        <w:rPr>
          <w:rFonts w:ascii="Times New Roman" w:hAnsi="Times New Roman" w:eastAsia="黑体"/>
          <w:color w:val="000000"/>
          <w:sz w:val="44"/>
          <w:szCs w:val="44"/>
          <w:highlight w:val="none"/>
          <w:bdr w:val="single" w:color="auto" w:sz="4" w:space="0"/>
        </w:rPr>
        <w:t>/</w:t>
      </w:r>
      <w:r>
        <w:rPr>
          <w:rFonts w:hint="eastAsia" w:ascii="Times New Roman" w:hAnsi="Times New Roman" w:eastAsia="黑体"/>
          <w:color w:val="000000"/>
          <w:sz w:val="44"/>
          <w:szCs w:val="44"/>
          <w:highlight w:val="none"/>
          <w:bdr w:val="single" w:color="auto" w:sz="4" w:space="0"/>
        </w:rPr>
        <w:t>副本</w:t>
      </w:r>
      <w:bookmarkEnd w:id="237"/>
      <w:bookmarkEnd w:id="238"/>
      <w:bookmarkEnd w:id="239"/>
    </w:p>
    <w:p w14:paraId="39A46221">
      <w:pPr>
        <w:shd w:val="clear"/>
        <w:spacing w:line="300" w:lineRule="auto"/>
        <w:rPr>
          <w:rFonts w:ascii="Times New Roman" w:hAnsi="Times New Roman"/>
          <w:color w:val="000000"/>
          <w:szCs w:val="21"/>
          <w:highlight w:val="none"/>
        </w:rPr>
      </w:pPr>
    </w:p>
    <w:p w14:paraId="1027378B">
      <w:pPr>
        <w:shd w:val="clear"/>
        <w:spacing w:line="300" w:lineRule="auto"/>
        <w:jc w:val="center"/>
        <w:rPr>
          <w:rFonts w:ascii="Times New Roman" w:hAnsi="Times New Roman" w:eastAsia="黑体"/>
          <w:color w:val="000000"/>
          <w:sz w:val="36"/>
          <w:szCs w:val="36"/>
          <w:highlight w:val="none"/>
        </w:rPr>
      </w:pPr>
      <w:r>
        <w:rPr>
          <w:rFonts w:ascii="Times New Roman" w:hAnsi="Times New Roman" w:eastAsia="黑体"/>
          <w:color w:val="000000"/>
          <w:sz w:val="36"/>
          <w:szCs w:val="36"/>
          <w:highlight w:val="none"/>
          <w:u w:val="single"/>
        </w:rPr>
        <w:t xml:space="preserve">                      </w:t>
      </w:r>
      <w:bookmarkStart w:id="240" w:name="_Toc24720_WPSOffice_Level1"/>
      <w:bookmarkStart w:id="241" w:name="_Toc23147_WPSOffice_Level1"/>
      <w:bookmarkStart w:id="242" w:name="_Toc28215_WPSOffice_Level1"/>
      <w:r>
        <w:rPr>
          <w:rFonts w:hint="eastAsia" w:ascii="Times New Roman" w:hAnsi="Times New Roman" w:eastAsia="黑体"/>
          <w:color w:val="000000"/>
          <w:sz w:val="36"/>
          <w:szCs w:val="36"/>
          <w:highlight w:val="none"/>
        </w:rPr>
        <w:t>（项目名称）</w:t>
      </w:r>
      <w:bookmarkEnd w:id="240"/>
      <w:bookmarkEnd w:id="241"/>
      <w:bookmarkEnd w:id="242"/>
    </w:p>
    <w:p w14:paraId="78D9CB8B">
      <w:pPr>
        <w:shd w:val="clear"/>
        <w:spacing w:line="300" w:lineRule="auto"/>
        <w:rPr>
          <w:rFonts w:ascii="Times New Roman" w:hAnsi="Times New Roman"/>
          <w:b/>
          <w:color w:val="000000"/>
          <w:szCs w:val="21"/>
          <w:highlight w:val="none"/>
        </w:rPr>
      </w:pPr>
    </w:p>
    <w:p w14:paraId="70213F40">
      <w:pPr>
        <w:shd w:val="clear"/>
        <w:spacing w:line="300" w:lineRule="auto"/>
        <w:jc w:val="center"/>
        <w:rPr>
          <w:rFonts w:ascii="Times New Roman" w:hAnsi="Times New Roman"/>
          <w:b/>
          <w:color w:val="000000"/>
          <w:szCs w:val="21"/>
          <w:highlight w:val="none"/>
        </w:rPr>
      </w:pPr>
    </w:p>
    <w:p w14:paraId="791C1CAC">
      <w:pPr>
        <w:shd w:val="clear"/>
        <w:spacing w:line="300" w:lineRule="auto"/>
        <w:rPr>
          <w:rFonts w:ascii="Times New Roman" w:hAnsi="Times New Roman"/>
          <w:b/>
          <w:color w:val="000000"/>
          <w:szCs w:val="21"/>
          <w:highlight w:val="none"/>
        </w:rPr>
      </w:pPr>
    </w:p>
    <w:p w14:paraId="6837E0E8">
      <w:pPr>
        <w:shd w:val="clear"/>
        <w:spacing w:line="300" w:lineRule="auto"/>
        <w:rPr>
          <w:rFonts w:ascii="Times New Roman" w:hAnsi="Times New Roman"/>
          <w:b/>
          <w:color w:val="000000"/>
          <w:szCs w:val="21"/>
          <w:highlight w:val="none"/>
        </w:rPr>
      </w:pPr>
    </w:p>
    <w:p w14:paraId="53B7C040">
      <w:pPr>
        <w:shd w:val="clear"/>
        <w:spacing w:line="300" w:lineRule="auto"/>
        <w:rPr>
          <w:rFonts w:ascii="Times New Roman" w:hAnsi="Times New Roman"/>
          <w:b/>
          <w:color w:val="000000"/>
          <w:szCs w:val="21"/>
          <w:highlight w:val="none"/>
        </w:rPr>
      </w:pPr>
    </w:p>
    <w:p w14:paraId="2336E257">
      <w:pPr>
        <w:shd w:val="clear"/>
        <w:spacing w:line="300" w:lineRule="auto"/>
        <w:rPr>
          <w:rFonts w:ascii="Times New Roman" w:hAnsi="Times New Roman"/>
          <w:b/>
          <w:color w:val="000000"/>
          <w:szCs w:val="21"/>
          <w:highlight w:val="none"/>
        </w:rPr>
      </w:pPr>
    </w:p>
    <w:p w14:paraId="1179460F">
      <w:pPr>
        <w:shd w:val="clear"/>
        <w:spacing w:line="300" w:lineRule="auto"/>
        <w:jc w:val="center"/>
        <w:rPr>
          <w:rFonts w:ascii="Times New Roman" w:hAnsi="Times New Roman" w:eastAsia="黑体"/>
          <w:color w:val="000000"/>
          <w:sz w:val="36"/>
          <w:szCs w:val="36"/>
          <w:highlight w:val="none"/>
        </w:rPr>
      </w:pPr>
      <w:bookmarkStart w:id="243" w:name="_Toc6615_WPSOffice_Level1"/>
      <w:bookmarkStart w:id="244" w:name="_Toc7890_WPSOffice_Level1"/>
      <w:bookmarkStart w:id="245" w:name="_Toc6765_WPSOffice_Level1"/>
      <w:r>
        <w:rPr>
          <w:rFonts w:hint="eastAsia" w:ascii="Times New Roman" w:hAnsi="Times New Roman" w:eastAsia="黑体"/>
          <w:color w:val="000000"/>
          <w:sz w:val="36"/>
          <w:szCs w:val="36"/>
          <w:highlight w:val="none"/>
        </w:rPr>
        <w:t>投标文件</w:t>
      </w:r>
      <w:bookmarkEnd w:id="243"/>
      <w:bookmarkEnd w:id="244"/>
      <w:bookmarkEnd w:id="245"/>
    </w:p>
    <w:p w14:paraId="45FBB176">
      <w:pPr>
        <w:shd w:val="clear"/>
        <w:spacing w:line="300" w:lineRule="auto"/>
        <w:rPr>
          <w:rFonts w:ascii="Times New Roman" w:hAnsi="Times New Roman"/>
          <w:b/>
          <w:color w:val="000000"/>
          <w:szCs w:val="21"/>
          <w:highlight w:val="none"/>
        </w:rPr>
      </w:pPr>
    </w:p>
    <w:p w14:paraId="56083C9A">
      <w:pPr>
        <w:shd w:val="clear"/>
        <w:spacing w:line="300" w:lineRule="auto"/>
        <w:rPr>
          <w:rFonts w:ascii="Times New Roman" w:hAnsi="Times New Roman"/>
          <w:color w:val="000000"/>
          <w:szCs w:val="21"/>
          <w:highlight w:val="none"/>
        </w:rPr>
      </w:pPr>
    </w:p>
    <w:p w14:paraId="7CD4EC4F">
      <w:pPr>
        <w:shd w:val="clear"/>
        <w:spacing w:line="300" w:lineRule="auto"/>
        <w:rPr>
          <w:rFonts w:ascii="Times New Roman" w:hAnsi="Times New Roman"/>
          <w:color w:val="000000"/>
          <w:szCs w:val="21"/>
          <w:highlight w:val="none"/>
        </w:rPr>
      </w:pPr>
    </w:p>
    <w:p w14:paraId="06F99AB9">
      <w:pPr>
        <w:shd w:val="clear"/>
        <w:spacing w:line="300" w:lineRule="auto"/>
        <w:rPr>
          <w:rFonts w:ascii="Times New Roman" w:hAnsi="Times New Roman"/>
          <w:color w:val="000000"/>
          <w:szCs w:val="21"/>
          <w:highlight w:val="none"/>
        </w:rPr>
      </w:pPr>
    </w:p>
    <w:p w14:paraId="772B2F40">
      <w:pPr>
        <w:shd w:val="clear"/>
        <w:spacing w:line="300" w:lineRule="auto"/>
        <w:rPr>
          <w:rFonts w:ascii="Times New Roman" w:hAnsi="Times New Roman"/>
          <w:color w:val="000000"/>
          <w:szCs w:val="21"/>
          <w:highlight w:val="none"/>
        </w:rPr>
      </w:pPr>
    </w:p>
    <w:p w14:paraId="432E2045">
      <w:pPr>
        <w:shd w:val="clear"/>
        <w:spacing w:line="300" w:lineRule="auto"/>
        <w:rPr>
          <w:rFonts w:ascii="Times New Roman" w:hAnsi="Times New Roman"/>
          <w:color w:val="000000"/>
          <w:szCs w:val="21"/>
          <w:highlight w:val="none"/>
        </w:rPr>
      </w:pPr>
    </w:p>
    <w:p w14:paraId="799649BA">
      <w:pPr>
        <w:shd w:val="clear"/>
        <w:spacing w:line="300" w:lineRule="auto"/>
        <w:rPr>
          <w:rFonts w:ascii="Times New Roman" w:hAnsi="Times New Roman"/>
          <w:color w:val="000000"/>
          <w:szCs w:val="21"/>
          <w:highlight w:val="none"/>
        </w:rPr>
      </w:pPr>
    </w:p>
    <w:p w14:paraId="65CA63DC">
      <w:pPr>
        <w:shd w:val="clear"/>
        <w:spacing w:line="300" w:lineRule="auto"/>
        <w:rPr>
          <w:rFonts w:ascii="Times New Roman" w:hAnsi="Times New Roman"/>
          <w:color w:val="000000"/>
          <w:szCs w:val="21"/>
          <w:highlight w:val="none"/>
        </w:rPr>
      </w:pPr>
    </w:p>
    <w:p w14:paraId="78258452">
      <w:pPr>
        <w:shd w:val="clear"/>
        <w:spacing w:line="300" w:lineRule="auto"/>
        <w:ind w:firstLine="140" w:firstLineChars="50"/>
        <w:rPr>
          <w:rFonts w:ascii="Times New Roman" w:hAnsi="Times New Roman" w:eastAsia="黑体"/>
          <w:color w:val="000000"/>
          <w:sz w:val="28"/>
          <w:szCs w:val="28"/>
          <w:highlight w:val="none"/>
          <w:u w:val="single"/>
        </w:rPr>
      </w:pPr>
      <w:r>
        <w:rPr>
          <w:rFonts w:hint="eastAsia" w:ascii="Times New Roman" w:hAnsi="Times New Roman" w:eastAsia="黑体"/>
          <w:color w:val="000000"/>
          <w:sz w:val="28"/>
          <w:szCs w:val="28"/>
          <w:highlight w:val="none"/>
        </w:rPr>
        <w:t>投标人：</w:t>
      </w:r>
      <w:r>
        <w:rPr>
          <w:rFonts w:ascii="Times New Roman" w:hAnsi="Times New Roman" w:eastAsia="黑体"/>
          <w:color w:val="000000"/>
          <w:sz w:val="28"/>
          <w:szCs w:val="28"/>
          <w:highlight w:val="none"/>
          <w:u w:val="single"/>
        </w:rPr>
        <w:t xml:space="preserve">                                       </w:t>
      </w:r>
      <w:r>
        <w:rPr>
          <w:rFonts w:hint="eastAsia" w:ascii="Times New Roman" w:hAnsi="Times New Roman" w:eastAsia="黑体"/>
          <w:color w:val="000000"/>
          <w:sz w:val="28"/>
          <w:szCs w:val="28"/>
          <w:highlight w:val="none"/>
        </w:rPr>
        <w:t>（盖单位公章）</w:t>
      </w:r>
    </w:p>
    <w:p w14:paraId="726CFD54">
      <w:pPr>
        <w:shd w:val="clear"/>
        <w:spacing w:line="300" w:lineRule="auto"/>
        <w:jc w:val="center"/>
        <w:rPr>
          <w:rFonts w:ascii="Times New Roman" w:hAnsi="Times New Roman" w:eastAsia="黑体"/>
          <w:color w:val="000000"/>
          <w:sz w:val="28"/>
          <w:szCs w:val="28"/>
          <w:highlight w:val="none"/>
        </w:rPr>
      </w:pPr>
      <w:bookmarkStart w:id="246" w:name="_Toc31414_WPSOffice_Level1"/>
      <w:bookmarkStart w:id="247" w:name="_Toc14022_WPSOffice_Level1"/>
      <w:bookmarkStart w:id="248" w:name="_Toc27359_WPSOffice_Level1"/>
      <w:r>
        <w:rPr>
          <w:rFonts w:hint="eastAsia" w:ascii="Times New Roman" w:hAnsi="Times New Roman" w:eastAsia="黑体"/>
          <w:color w:val="000000"/>
          <w:sz w:val="28"/>
          <w:szCs w:val="28"/>
          <w:highlight w:val="none"/>
        </w:rPr>
        <w:t>法定代表人或其委托代理人：</w:t>
      </w:r>
      <w:r>
        <w:rPr>
          <w:rFonts w:ascii="Times New Roman" w:hAnsi="Times New Roman" w:eastAsia="黑体"/>
          <w:color w:val="000000"/>
          <w:sz w:val="28"/>
          <w:szCs w:val="28"/>
          <w:highlight w:val="none"/>
          <w:u w:val="single"/>
        </w:rPr>
        <w:t xml:space="preserve">                    </w:t>
      </w:r>
      <w:r>
        <w:rPr>
          <w:rFonts w:hint="eastAsia" w:ascii="Times New Roman" w:hAnsi="Times New Roman" w:eastAsia="黑体"/>
          <w:color w:val="000000"/>
          <w:sz w:val="28"/>
          <w:szCs w:val="28"/>
          <w:highlight w:val="none"/>
        </w:rPr>
        <w:t>（签字或盖章）</w:t>
      </w:r>
      <w:bookmarkEnd w:id="246"/>
      <w:bookmarkEnd w:id="247"/>
      <w:bookmarkEnd w:id="248"/>
    </w:p>
    <w:p w14:paraId="614B00DE">
      <w:pPr>
        <w:shd w:val="clear"/>
        <w:spacing w:line="300" w:lineRule="auto"/>
        <w:jc w:val="center"/>
        <w:rPr>
          <w:rFonts w:ascii="Times New Roman" w:hAnsi="Times New Roman" w:eastAsia="黑体"/>
          <w:color w:val="000000"/>
          <w:sz w:val="28"/>
          <w:szCs w:val="28"/>
          <w:highlight w:val="none"/>
          <w:u w:val="single"/>
        </w:rPr>
      </w:pPr>
    </w:p>
    <w:p w14:paraId="71B2C008">
      <w:pPr>
        <w:shd w:val="clear"/>
        <w:spacing w:line="300" w:lineRule="auto"/>
        <w:jc w:val="center"/>
        <w:rPr>
          <w:rFonts w:ascii="Times New Roman" w:hAnsi="Times New Roman" w:eastAsia="黑体"/>
          <w:color w:val="000000"/>
          <w:sz w:val="28"/>
          <w:szCs w:val="28"/>
          <w:highlight w:val="none"/>
        </w:rPr>
        <w:sectPr>
          <w:footerReference r:id="rId6" w:type="default"/>
          <w:footerReference r:id="rId7" w:type="even"/>
          <w:pgSz w:w="11906" w:h="16838"/>
          <w:pgMar w:top="1418" w:right="1644" w:bottom="1247" w:left="1644" w:header="851" w:footer="992" w:gutter="0"/>
          <w:cols w:space="720" w:num="1"/>
          <w:docGrid w:type="lines" w:linePitch="312" w:charSpace="0"/>
        </w:sectPr>
      </w:pPr>
      <w:r>
        <w:rPr>
          <w:rFonts w:ascii="Times New Roman" w:hAnsi="Times New Roman" w:eastAsia="黑体"/>
          <w:color w:val="000000"/>
          <w:sz w:val="28"/>
          <w:szCs w:val="28"/>
          <w:highlight w:val="none"/>
          <w:u w:val="single"/>
        </w:rPr>
        <w:t xml:space="preserve">      </w:t>
      </w:r>
      <w:bookmarkStart w:id="249" w:name="_Toc30171_WPSOffice_Level1"/>
      <w:bookmarkStart w:id="250" w:name="_Toc26258_WPSOffice_Level1"/>
      <w:bookmarkStart w:id="251" w:name="_Toc31650_WPSOffice_Level1"/>
      <w:r>
        <w:rPr>
          <w:rFonts w:hint="eastAsia" w:ascii="Times New Roman" w:hAnsi="Times New Roman" w:eastAsia="黑体"/>
          <w:color w:val="000000"/>
          <w:sz w:val="28"/>
          <w:szCs w:val="28"/>
          <w:highlight w:val="none"/>
        </w:rPr>
        <w:t>年</w:t>
      </w:r>
      <w:r>
        <w:rPr>
          <w:rFonts w:ascii="Times New Roman" w:hAnsi="Times New Roman" w:eastAsia="黑体"/>
          <w:color w:val="000000"/>
          <w:sz w:val="28"/>
          <w:szCs w:val="28"/>
          <w:highlight w:val="none"/>
        </w:rPr>
        <w:t xml:space="preserve"> </w:t>
      </w:r>
      <w:r>
        <w:rPr>
          <w:rFonts w:ascii="Times New Roman" w:hAnsi="Times New Roman" w:eastAsia="黑体"/>
          <w:color w:val="000000"/>
          <w:sz w:val="28"/>
          <w:szCs w:val="28"/>
          <w:highlight w:val="none"/>
          <w:u w:val="single"/>
        </w:rPr>
        <w:t xml:space="preserve">   </w:t>
      </w:r>
      <w:r>
        <w:rPr>
          <w:rFonts w:ascii="Times New Roman" w:hAnsi="Times New Roman" w:eastAsia="黑体"/>
          <w:color w:val="000000"/>
          <w:sz w:val="28"/>
          <w:szCs w:val="28"/>
          <w:highlight w:val="none"/>
        </w:rPr>
        <w:t xml:space="preserve"> </w:t>
      </w:r>
      <w:r>
        <w:rPr>
          <w:rFonts w:hint="eastAsia" w:ascii="Times New Roman" w:hAnsi="Times New Roman" w:eastAsia="黑体"/>
          <w:color w:val="000000"/>
          <w:sz w:val="28"/>
          <w:szCs w:val="28"/>
          <w:highlight w:val="none"/>
        </w:rPr>
        <w:t>月</w:t>
      </w:r>
      <w:bookmarkEnd w:id="249"/>
      <w:bookmarkEnd w:id="250"/>
      <w:bookmarkEnd w:id="251"/>
      <w:r>
        <w:rPr>
          <w:rFonts w:ascii="Times New Roman" w:hAnsi="Times New Roman" w:eastAsia="黑体"/>
          <w:color w:val="000000"/>
          <w:sz w:val="28"/>
          <w:szCs w:val="28"/>
          <w:highlight w:val="none"/>
        </w:rPr>
        <w:t xml:space="preserve">  </w:t>
      </w:r>
      <w:r>
        <w:rPr>
          <w:rFonts w:ascii="Times New Roman" w:hAnsi="Times New Roman" w:eastAsia="黑体"/>
          <w:color w:val="000000"/>
          <w:sz w:val="28"/>
          <w:szCs w:val="28"/>
          <w:highlight w:val="none"/>
          <w:u w:val="single"/>
        </w:rPr>
        <w:t xml:space="preserve">    </w:t>
      </w:r>
    </w:p>
    <w:p w14:paraId="19DBA93E">
      <w:pPr>
        <w:pStyle w:val="5"/>
        <w:shd w:val="clear"/>
        <w:spacing w:before="0" w:after="0" w:line="300" w:lineRule="auto"/>
        <w:jc w:val="center"/>
        <w:outlineLvl w:val="9"/>
        <w:rPr>
          <w:rFonts w:ascii="Times New Roman" w:hAnsi="Times New Roman"/>
          <w:color w:val="000000"/>
          <w:highlight w:val="none"/>
        </w:rPr>
      </w:pPr>
      <w:r>
        <w:rPr>
          <w:rFonts w:hint="eastAsia" w:ascii="Times New Roman" w:hAnsi="Times New Roman"/>
          <w:color w:val="000000"/>
          <w:highlight w:val="none"/>
        </w:rPr>
        <w:t>目</w:t>
      </w:r>
      <w:r>
        <w:rPr>
          <w:rFonts w:ascii="Times New Roman" w:hAnsi="Times New Roman"/>
          <w:color w:val="000000"/>
          <w:highlight w:val="none"/>
        </w:rPr>
        <w:t xml:space="preserve">    </w:t>
      </w:r>
      <w:r>
        <w:rPr>
          <w:rFonts w:hint="eastAsia" w:ascii="Times New Roman" w:hAnsi="Times New Roman"/>
          <w:color w:val="000000"/>
          <w:highlight w:val="none"/>
        </w:rPr>
        <w:t>录</w:t>
      </w:r>
    </w:p>
    <w:p w14:paraId="3E5E42F8">
      <w:pPr>
        <w:shd w:val="clear"/>
        <w:spacing w:line="300" w:lineRule="auto"/>
        <w:rPr>
          <w:rFonts w:ascii="Times New Roman" w:hAnsi="Times New Roman"/>
          <w:color w:val="000000"/>
          <w:highlight w:val="none"/>
        </w:rPr>
      </w:pPr>
    </w:p>
    <w:p w14:paraId="36BB01FC">
      <w:pPr>
        <w:numPr>
          <w:ilvl w:val="0"/>
          <w:numId w:val="5"/>
        </w:numPr>
        <w:shd w:val="clear"/>
        <w:spacing w:line="360" w:lineRule="auto"/>
        <w:ind w:left="0" w:leftChars="0" w:firstLine="0" w:firstLineChars="0"/>
        <w:rPr>
          <w:rFonts w:hint="eastAsia" w:cs="仿宋"/>
          <w:highlight w:val="none"/>
        </w:rPr>
      </w:pPr>
      <w:r>
        <w:rPr>
          <w:rFonts w:hint="eastAsia" w:cs="仿宋"/>
          <w:highlight w:val="none"/>
        </w:rPr>
        <w:t>投标函</w:t>
      </w:r>
    </w:p>
    <w:p w14:paraId="600A87DA">
      <w:pPr>
        <w:pStyle w:val="2"/>
        <w:numPr>
          <w:ilvl w:val="0"/>
          <w:numId w:val="5"/>
        </w:numPr>
        <w:ind w:left="0" w:leftChars="0" w:firstLine="0" w:firstLineChars="0"/>
        <w:rPr>
          <w:rFonts w:hint="eastAsia"/>
        </w:rPr>
      </w:pPr>
      <w:r>
        <w:rPr>
          <w:rFonts w:hint="eastAsia" w:cs="仿宋"/>
          <w:highlight w:val="none"/>
        </w:rPr>
        <w:t>报价表</w:t>
      </w:r>
    </w:p>
    <w:p w14:paraId="7872455A">
      <w:pPr>
        <w:pStyle w:val="2"/>
        <w:numPr>
          <w:ilvl w:val="0"/>
          <w:numId w:val="5"/>
        </w:numPr>
        <w:shd w:val="clear"/>
        <w:ind w:left="0" w:leftChars="0" w:firstLine="0" w:firstLineChars="0"/>
        <w:rPr>
          <w:highlight w:val="none"/>
        </w:rPr>
      </w:pPr>
      <w:r>
        <w:rPr>
          <w:rFonts w:hint="eastAsia"/>
          <w:highlight w:val="none"/>
        </w:rPr>
        <w:t>法定代表人身份证明</w:t>
      </w:r>
    </w:p>
    <w:p w14:paraId="285235FA">
      <w:pPr>
        <w:numPr>
          <w:ilvl w:val="0"/>
          <w:numId w:val="5"/>
        </w:numPr>
        <w:shd w:val="clear"/>
        <w:spacing w:line="360" w:lineRule="auto"/>
        <w:ind w:left="0" w:leftChars="0" w:firstLine="0" w:firstLineChars="0"/>
        <w:rPr>
          <w:rFonts w:cs="仿宋"/>
          <w:highlight w:val="none"/>
        </w:rPr>
      </w:pPr>
      <w:r>
        <w:rPr>
          <w:rFonts w:hint="eastAsia" w:cs="仿宋"/>
          <w:highlight w:val="none"/>
        </w:rPr>
        <w:t>授权委托书</w:t>
      </w:r>
    </w:p>
    <w:p w14:paraId="60EF91C0">
      <w:pPr>
        <w:numPr>
          <w:ilvl w:val="0"/>
          <w:numId w:val="5"/>
        </w:numPr>
        <w:shd w:val="clear"/>
        <w:spacing w:line="360" w:lineRule="auto"/>
        <w:ind w:left="0" w:leftChars="0" w:firstLine="0" w:firstLineChars="0"/>
        <w:rPr>
          <w:rFonts w:cs="仿宋"/>
          <w:highlight w:val="none"/>
        </w:rPr>
      </w:pPr>
      <w:r>
        <w:rPr>
          <w:rFonts w:hint="eastAsia" w:cs="仿宋"/>
          <w:highlight w:val="none"/>
        </w:rPr>
        <w:t>投标保证金</w:t>
      </w:r>
    </w:p>
    <w:p w14:paraId="0628ABAB">
      <w:pPr>
        <w:numPr>
          <w:ilvl w:val="0"/>
          <w:numId w:val="5"/>
        </w:numPr>
        <w:shd w:val="clear"/>
        <w:spacing w:line="360" w:lineRule="auto"/>
        <w:ind w:left="0" w:leftChars="0" w:firstLine="0" w:firstLineChars="0"/>
        <w:rPr>
          <w:rFonts w:cs="仿宋"/>
          <w:highlight w:val="none"/>
        </w:rPr>
      </w:pPr>
      <w:r>
        <w:rPr>
          <w:rFonts w:hint="eastAsia" w:cs="仿宋"/>
          <w:highlight w:val="none"/>
        </w:rPr>
        <w:t>资格审查资料</w:t>
      </w:r>
    </w:p>
    <w:p w14:paraId="06AE0EAB">
      <w:pPr>
        <w:numPr>
          <w:ilvl w:val="0"/>
          <w:numId w:val="5"/>
        </w:numPr>
        <w:shd w:val="clear"/>
        <w:spacing w:line="360" w:lineRule="auto"/>
        <w:ind w:left="0" w:leftChars="0" w:firstLine="0" w:firstLineChars="0"/>
        <w:rPr>
          <w:rFonts w:cs="仿宋"/>
          <w:highlight w:val="none"/>
        </w:rPr>
      </w:pPr>
      <w:r>
        <w:rPr>
          <w:rFonts w:hint="eastAsia" w:cs="仿宋"/>
          <w:highlight w:val="none"/>
        </w:rPr>
        <w:t>商务或技术偏差表</w:t>
      </w:r>
    </w:p>
    <w:p w14:paraId="3D8C4DC2">
      <w:pPr>
        <w:numPr>
          <w:ilvl w:val="0"/>
          <w:numId w:val="5"/>
        </w:numPr>
        <w:shd w:val="clear"/>
        <w:spacing w:line="360" w:lineRule="auto"/>
        <w:ind w:left="0" w:leftChars="0" w:firstLine="0" w:firstLineChars="0"/>
        <w:rPr>
          <w:rFonts w:cs="仿宋"/>
          <w:highlight w:val="none"/>
        </w:rPr>
      </w:pPr>
      <w:r>
        <w:rPr>
          <w:rFonts w:hint="eastAsia" w:cs="仿宋"/>
          <w:highlight w:val="none"/>
        </w:rPr>
        <w:t>投标人认为应补充的其它资料</w:t>
      </w:r>
    </w:p>
    <w:p w14:paraId="3C4C0079">
      <w:pPr>
        <w:shd w:val="clear"/>
        <w:jc w:val="center"/>
        <w:rPr>
          <w:rFonts w:ascii="Times New Roman" w:hAnsi="Times New Roman"/>
          <w:b/>
          <w:color w:val="000000"/>
          <w:highlight w:val="none"/>
        </w:rPr>
      </w:pPr>
      <w:r>
        <w:rPr>
          <w:rFonts w:ascii="Times New Roman" w:hAnsi="Times New Roman"/>
          <w:b/>
          <w:color w:val="000000"/>
          <w:highlight w:val="none"/>
        </w:rPr>
        <w:br w:type="page"/>
      </w:r>
    </w:p>
    <w:p w14:paraId="6D9C079C">
      <w:pPr>
        <w:pStyle w:val="6"/>
        <w:shd w:val="clear"/>
        <w:spacing w:before="0" w:after="0" w:line="300" w:lineRule="auto"/>
        <w:jc w:val="left"/>
        <w:outlineLvl w:val="0"/>
        <w:rPr>
          <w:b/>
          <w:bCs/>
          <w:color w:val="000000"/>
          <w:sz w:val="24"/>
          <w:szCs w:val="24"/>
          <w:highlight w:val="none"/>
        </w:rPr>
      </w:pPr>
      <w:bookmarkStart w:id="252" w:name="_Toc26410"/>
      <w:bookmarkStart w:id="253" w:name="_Toc4141_WPSOffice_Level1"/>
      <w:r>
        <w:rPr>
          <w:rFonts w:hint="eastAsia"/>
          <w:b/>
          <w:bCs/>
          <w:color w:val="000000"/>
          <w:sz w:val="24"/>
          <w:szCs w:val="24"/>
          <w:highlight w:val="none"/>
        </w:rPr>
        <w:t>1、投标函</w:t>
      </w:r>
      <w:bookmarkEnd w:id="252"/>
      <w:bookmarkEnd w:id="253"/>
    </w:p>
    <w:p w14:paraId="75D6940D">
      <w:pPr>
        <w:shd w:val="clear"/>
        <w:spacing w:line="300" w:lineRule="auto"/>
        <w:rPr>
          <w:rFonts w:ascii="Times New Roman" w:hAnsi="Times New Roman"/>
          <w:color w:val="000000"/>
          <w:szCs w:val="21"/>
          <w:highlight w:val="none"/>
          <w:u w:val="single"/>
        </w:rPr>
      </w:pPr>
    </w:p>
    <w:p w14:paraId="4AB4B7FD">
      <w:pPr>
        <w:shd w:val="clear"/>
        <w:spacing w:line="300" w:lineRule="auto"/>
        <w:rPr>
          <w:rFonts w:ascii="Times New Roman" w:hAnsi="Times New Roman"/>
          <w:color w:val="000000"/>
          <w:szCs w:val="21"/>
          <w:highlight w:val="none"/>
        </w:rPr>
      </w:pP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（招标人名称）：</w:t>
      </w:r>
    </w:p>
    <w:p w14:paraId="298039E7">
      <w:pPr>
        <w:shd w:val="clear"/>
        <w:ind w:firstLine="480" w:firstLineChars="200"/>
        <w:jc w:val="left"/>
        <w:rPr>
          <w:rFonts w:ascii="Times New Roman" w:hAnsi="Times New Roman"/>
          <w:color w:val="000000"/>
          <w:szCs w:val="21"/>
          <w:highlight w:val="none"/>
        </w:rPr>
      </w:pPr>
      <w:r>
        <w:rPr>
          <w:rFonts w:ascii="Times New Roman" w:hAnsi="Times New Roman"/>
          <w:color w:val="000000"/>
          <w:szCs w:val="21"/>
          <w:highlight w:val="none"/>
        </w:rPr>
        <w:t>1</w:t>
      </w:r>
      <w:r>
        <w:rPr>
          <w:rFonts w:hint="eastAsia" w:ascii="Times New Roman" w:hAnsi="Times New Roman"/>
          <w:color w:val="000000"/>
          <w:szCs w:val="21"/>
          <w:highlight w:val="none"/>
        </w:rPr>
        <w:t>．我方已仔细研究了</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（项目名称）招标文件的全部内容，愿意以人民币（大写）</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w:t>
      </w:r>
      <w:r>
        <w:rPr>
          <w:rFonts w:ascii="Times New Roman" w:hAnsi="Times New Roman"/>
          <w:color w:val="000000"/>
          <w:szCs w:val="21"/>
          <w:highlight w:val="none"/>
        </w:rPr>
        <w:t>¥</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w:t>
      </w:r>
      <w:r>
        <w:rPr>
          <w:rFonts w:hint="eastAsia" w:ascii="Times New Roman" w:hAnsi="Times New Roman"/>
          <w:color w:val="000000"/>
          <w:szCs w:val="21"/>
          <w:highlight w:val="none"/>
          <w:lang w:val="en-US" w:eastAsia="zh-CN"/>
        </w:rPr>
        <w:t>含</w:t>
      </w:r>
      <w:r>
        <w:rPr>
          <w:rFonts w:hint="eastAsia" w:ascii="Times New Roman" w:hAnsi="Times New Roman"/>
          <w:color w:val="000000"/>
          <w:szCs w:val="21"/>
          <w:highlight w:val="none"/>
          <w:u w:val="single"/>
          <w:lang w:val="en-US" w:eastAsia="zh-CN"/>
        </w:rPr>
        <w:t xml:space="preserve">   </w:t>
      </w:r>
      <w:r>
        <w:rPr>
          <w:rFonts w:hint="eastAsia" w:ascii="Times New Roman" w:hAnsi="Times New Roman"/>
          <w:color w:val="000000"/>
          <w:szCs w:val="21"/>
          <w:highlight w:val="none"/>
          <w:u w:val="none"/>
          <w:lang w:val="en-US" w:eastAsia="zh-CN"/>
        </w:rPr>
        <w:t>%增值税</w:t>
      </w:r>
      <w:r>
        <w:rPr>
          <w:rFonts w:hint="eastAsia" w:ascii="Times New Roman" w:hAnsi="Times New Roman"/>
          <w:color w:val="000000"/>
          <w:szCs w:val="21"/>
          <w:highlight w:val="none"/>
        </w:rPr>
        <w:t>的总报价，</w:t>
      </w:r>
      <w:r>
        <w:rPr>
          <w:rFonts w:hint="eastAsia" w:ascii="Times New Roman" w:hAnsi="Times New Roman"/>
          <w:color w:val="000000"/>
          <w:szCs w:val="21"/>
          <w:highlight w:val="none"/>
          <w:lang w:val="en-US" w:eastAsia="zh-CN"/>
        </w:rPr>
        <w:t>单次维修不大于</w:t>
      </w:r>
      <w:r>
        <w:rPr>
          <w:rFonts w:hint="eastAsia" w:ascii="Times New Roman" w:hAnsi="Times New Roman"/>
          <w:color w:val="000000"/>
          <w:szCs w:val="21"/>
          <w:highlight w:val="none"/>
          <w:u w:val="single"/>
          <w:lang w:val="en-US" w:eastAsia="zh-CN"/>
        </w:rPr>
        <w:t xml:space="preserve">     </w:t>
      </w:r>
      <w:r>
        <w:rPr>
          <w:rFonts w:hint="eastAsia" w:ascii="Times New Roman" w:hAnsi="Times New Roman"/>
          <w:color w:val="000000"/>
          <w:szCs w:val="21"/>
          <w:highlight w:val="none"/>
          <w:u w:val="none"/>
          <w:lang w:val="en-US" w:eastAsia="zh-CN"/>
        </w:rPr>
        <w:t>日历天、</w:t>
      </w:r>
      <w:r>
        <w:rPr>
          <w:rFonts w:hint="eastAsia" w:ascii="Times New Roman" w:hAnsi="Times New Roman"/>
          <w:color w:val="000000"/>
          <w:szCs w:val="21"/>
          <w:highlight w:val="none"/>
          <w:lang w:val="en-US" w:eastAsia="zh-CN"/>
        </w:rPr>
        <w:t>单次保养不大于</w:t>
      </w:r>
      <w:r>
        <w:rPr>
          <w:rFonts w:hint="eastAsia" w:ascii="Times New Roman" w:hAnsi="Times New Roman"/>
          <w:color w:val="000000"/>
          <w:szCs w:val="21"/>
          <w:highlight w:val="none"/>
          <w:u w:val="single"/>
          <w:lang w:val="en-US" w:eastAsia="zh-CN"/>
        </w:rPr>
        <w:t xml:space="preserve">     </w:t>
      </w:r>
      <w:r>
        <w:rPr>
          <w:rFonts w:hint="eastAsia" w:ascii="Times New Roman" w:hAnsi="Times New Roman"/>
          <w:color w:val="000000"/>
          <w:szCs w:val="21"/>
          <w:highlight w:val="none"/>
          <w:u w:val="none"/>
          <w:lang w:val="en-US" w:eastAsia="zh-CN"/>
        </w:rPr>
        <w:t>日历天，</w:t>
      </w:r>
      <w:r>
        <w:rPr>
          <w:rFonts w:hint="eastAsia" w:asciiTheme="minorEastAsia" w:hAnsiTheme="minorEastAsia" w:eastAsiaTheme="minorEastAsia" w:cstheme="minorEastAsia"/>
          <w:sz w:val="24"/>
          <w:szCs w:val="24"/>
          <w:highlight w:val="none"/>
          <w:lang w:val="en-US" w:eastAsia="zh-CN"/>
        </w:rPr>
        <w:t>所用</w:t>
      </w:r>
      <w:r>
        <w:rPr>
          <w:rFonts w:hint="eastAsia"/>
          <w:color w:val="000000"/>
          <w:highlight w:val="none"/>
          <w:lang w:val="en-US" w:eastAsia="zh-CN"/>
        </w:rPr>
        <w:t>绝缘材料品牌：</w:t>
      </w:r>
      <w:r>
        <w:rPr>
          <w:rFonts w:hint="eastAsia" w:ascii="Times New Roman" w:hAnsi="Times New Roman"/>
          <w:color w:val="000000"/>
          <w:szCs w:val="21"/>
          <w:highlight w:val="none"/>
          <w:u w:val="single"/>
          <w:lang w:val="en-US" w:eastAsia="zh-CN"/>
        </w:rPr>
        <w:t xml:space="preserve">       </w:t>
      </w:r>
      <w:r>
        <w:rPr>
          <w:rFonts w:hint="eastAsia"/>
          <w:color w:val="000000"/>
          <w:highlight w:val="none"/>
          <w:u w:val="none"/>
          <w:lang w:val="en-US" w:eastAsia="zh-CN"/>
        </w:rPr>
        <w:t>，</w:t>
      </w:r>
      <w:r>
        <w:rPr>
          <w:rFonts w:hint="eastAsia"/>
          <w:color w:val="000000"/>
          <w:highlight w:val="none"/>
          <w:lang w:val="en-US" w:eastAsia="zh-CN"/>
        </w:rPr>
        <w:t>所用轴承品牌：</w:t>
      </w:r>
      <w:r>
        <w:rPr>
          <w:rFonts w:hint="eastAsia"/>
          <w:color w:val="000000"/>
          <w:highlight w:val="none"/>
          <w:u w:val="single"/>
          <w:lang w:val="en-US" w:eastAsia="zh-CN"/>
        </w:rPr>
        <w:t xml:space="preserve">         ，</w:t>
      </w:r>
      <w:r>
        <w:rPr>
          <w:rFonts w:hint="eastAsia" w:ascii="Times New Roman" w:hAnsi="Times New Roman"/>
          <w:color w:val="000000"/>
          <w:szCs w:val="21"/>
          <w:highlight w:val="none"/>
        </w:rPr>
        <w:t>按合同约定</w:t>
      </w:r>
      <w:r>
        <w:rPr>
          <w:rFonts w:hint="eastAsia"/>
          <w:highlight w:val="none"/>
        </w:rPr>
        <w:t>履行所有义务</w:t>
      </w:r>
      <w:r>
        <w:rPr>
          <w:rFonts w:hint="eastAsia" w:ascii="Times New Roman" w:hAnsi="Times New Roman"/>
          <w:color w:val="000000"/>
          <w:szCs w:val="21"/>
          <w:highlight w:val="none"/>
        </w:rPr>
        <w:t>。</w:t>
      </w:r>
    </w:p>
    <w:p w14:paraId="2ED89FA6">
      <w:pPr>
        <w:shd w:val="clear"/>
        <w:spacing w:line="300" w:lineRule="auto"/>
        <w:ind w:firstLine="480" w:firstLineChars="200"/>
        <w:rPr>
          <w:rFonts w:ascii="Times New Roman" w:hAnsi="Times New Roman"/>
          <w:color w:val="000000"/>
          <w:szCs w:val="21"/>
          <w:highlight w:val="none"/>
        </w:rPr>
      </w:pPr>
      <w:r>
        <w:rPr>
          <w:rFonts w:ascii="Times New Roman" w:hAnsi="Times New Roman"/>
          <w:color w:val="000000"/>
          <w:szCs w:val="21"/>
          <w:highlight w:val="none"/>
        </w:rPr>
        <w:t>2</w:t>
      </w:r>
      <w:r>
        <w:rPr>
          <w:rFonts w:hint="eastAsia" w:ascii="Times New Roman" w:hAnsi="Times New Roman"/>
          <w:color w:val="000000"/>
          <w:szCs w:val="21"/>
          <w:highlight w:val="none"/>
        </w:rPr>
        <w:t>．我方承诺在招标文件规定的招标有效期内不修改、撤销投标文件。</w:t>
      </w:r>
    </w:p>
    <w:p w14:paraId="1E1D2F18">
      <w:pPr>
        <w:shd w:val="clear"/>
        <w:spacing w:line="300" w:lineRule="auto"/>
        <w:ind w:firstLine="480" w:firstLineChars="200"/>
        <w:rPr>
          <w:rFonts w:hint="default" w:ascii="Times New Roman" w:hAnsi="Times New Roman" w:eastAsia="宋体"/>
          <w:color w:val="000000"/>
          <w:szCs w:val="21"/>
          <w:highlight w:val="none"/>
          <w:lang w:val="en-US" w:eastAsia="zh-CN"/>
        </w:rPr>
      </w:pPr>
      <w:r>
        <w:rPr>
          <w:rFonts w:ascii="Times New Roman" w:hAnsi="Times New Roman"/>
          <w:color w:val="000000"/>
          <w:szCs w:val="21"/>
          <w:highlight w:val="none"/>
        </w:rPr>
        <w:t>3</w:t>
      </w:r>
      <w:r>
        <w:rPr>
          <w:rFonts w:hint="eastAsia" w:ascii="Times New Roman" w:hAnsi="Times New Roman"/>
          <w:color w:val="000000"/>
          <w:szCs w:val="21"/>
          <w:highlight w:val="none"/>
        </w:rPr>
        <w:t>．随同本报价函提交投标保证金一份，金额为人民币（大写）</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w:t>
      </w:r>
      <w:r>
        <w:rPr>
          <w:rFonts w:ascii="Times New Roman" w:hAnsi="Times New Roman"/>
          <w:color w:val="000000"/>
          <w:szCs w:val="21"/>
          <w:highlight w:val="none"/>
        </w:rPr>
        <w:t>¥</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w:t>
      </w:r>
    </w:p>
    <w:p w14:paraId="4E3AC238">
      <w:pPr>
        <w:shd w:val="clear"/>
        <w:spacing w:line="300" w:lineRule="auto"/>
        <w:ind w:firstLine="480" w:firstLineChars="200"/>
        <w:rPr>
          <w:rFonts w:ascii="Times New Roman" w:hAnsi="Times New Roman"/>
          <w:color w:val="000000"/>
          <w:szCs w:val="21"/>
          <w:highlight w:val="none"/>
        </w:rPr>
      </w:pPr>
      <w:r>
        <w:rPr>
          <w:rFonts w:ascii="Times New Roman" w:hAnsi="Times New Roman"/>
          <w:color w:val="000000"/>
          <w:szCs w:val="21"/>
          <w:highlight w:val="none"/>
        </w:rPr>
        <w:t>4</w:t>
      </w:r>
      <w:r>
        <w:rPr>
          <w:rFonts w:hint="eastAsia" w:ascii="Times New Roman" w:hAnsi="Times New Roman"/>
          <w:color w:val="000000"/>
          <w:szCs w:val="21"/>
          <w:highlight w:val="none"/>
        </w:rPr>
        <w:t>．如我方中标：</w:t>
      </w:r>
    </w:p>
    <w:p w14:paraId="03551E26">
      <w:pPr>
        <w:shd w:val="clear"/>
        <w:spacing w:line="300" w:lineRule="auto"/>
        <w:ind w:firstLine="820" w:firstLineChars="342"/>
        <w:rPr>
          <w:rFonts w:ascii="Times New Roman" w:hAnsi="Times New Roman"/>
          <w:color w:val="000000"/>
          <w:szCs w:val="21"/>
          <w:highlight w:val="none"/>
        </w:rPr>
      </w:pPr>
      <w:r>
        <w:rPr>
          <w:rFonts w:hint="eastAsia" w:ascii="Times New Roman" w:hAnsi="Times New Roman"/>
          <w:color w:val="000000"/>
          <w:szCs w:val="21"/>
          <w:highlight w:val="none"/>
        </w:rPr>
        <w:t>（</w:t>
      </w:r>
      <w:r>
        <w:rPr>
          <w:rFonts w:ascii="Times New Roman" w:hAnsi="Times New Roman"/>
          <w:color w:val="000000"/>
          <w:szCs w:val="21"/>
          <w:highlight w:val="none"/>
        </w:rPr>
        <w:t>1</w:t>
      </w:r>
      <w:r>
        <w:rPr>
          <w:rFonts w:hint="eastAsia" w:ascii="Times New Roman" w:hAnsi="Times New Roman"/>
          <w:color w:val="000000"/>
          <w:szCs w:val="21"/>
          <w:highlight w:val="none"/>
        </w:rPr>
        <w:t>）我方承诺在收到中标通知书后，在中标通知书规定的期限内与你方签订合同。</w:t>
      </w:r>
    </w:p>
    <w:p w14:paraId="5291FE98">
      <w:pPr>
        <w:shd w:val="clear"/>
        <w:spacing w:line="300" w:lineRule="auto"/>
        <w:ind w:firstLine="820" w:firstLineChars="342"/>
        <w:rPr>
          <w:rFonts w:ascii="Times New Roman" w:hAnsi="Times New Roman"/>
          <w:color w:val="000000"/>
          <w:szCs w:val="21"/>
          <w:highlight w:val="none"/>
        </w:rPr>
      </w:pPr>
      <w:r>
        <w:rPr>
          <w:rFonts w:hint="eastAsia" w:ascii="Times New Roman" w:hAnsi="Times New Roman"/>
          <w:color w:val="000000"/>
          <w:szCs w:val="21"/>
          <w:highlight w:val="none"/>
        </w:rPr>
        <w:t>（</w:t>
      </w:r>
      <w:r>
        <w:rPr>
          <w:rFonts w:ascii="Times New Roman" w:hAnsi="Times New Roman"/>
          <w:color w:val="000000"/>
          <w:szCs w:val="21"/>
          <w:highlight w:val="none"/>
        </w:rPr>
        <w:t>2</w:t>
      </w:r>
      <w:r>
        <w:rPr>
          <w:rFonts w:hint="eastAsia" w:ascii="Times New Roman" w:hAnsi="Times New Roman"/>
          <w:color w:val="000000"/>
          <w:szCs w:val="21"/>
          <w:highlight w:val="none"/>
        </w:rPr>
        <w:t>）随同本报价函递交的报价函附录属于合同文件的组成部分。</w:t>
      </w:r>
    </w:p>
    <w:p w14:paraId="37EC240B">
      <w:pPr>
        <w:shd w:val="clear"/>
        <w:spacing w:line="300" w:lineRule="auto"/>
        <w:ind w:firstLine="820" w:firstLineChars="342"/>
        <w:rPr>
          <w:rFonts w:ascii="Times New Roman" w:hAnsi="Times New Roman"/>
          <w:color w:val="000000"/>
          <w:szCs w:val="21"/>
          <w:highlight w:val="none"/>
        </w:rPr>
      </w:pPr>
      <w:r>
        <w:rPr>
          <w:rFonts w:hint="eastAsia" w:ascii="Times New Roman" w:hAnsi="Times New Roman"/>
          <w:color w:val="000000"/>
          <w:szCs w:val="21"/>
          <w:highlight w:val="none"/>
        </w:rPr>
        <w:t>（</w:t>
      </w:r>
      <w:r>
        <w:rPr>
          <w:rFonts w:ascii="Times New Roman" w:hAnsi="Times New Roman"/>
          <w:color w:val="000000"/>
          <w:szCs w:val="21"/>
          <w:highlight w:val="none"/>
        </w:rPr>
        <w:t>3</w:t>
      </w:r>
      <w:r>
        <w:rPr>
          <w:rFonts w:hint="eastAsia" w:ascii="Times New Roman" w:hAnsi="Times New Roman"/>
          <w:color w:val="000000"/>
          <w:szCs w:val="21"/>
          <w:highlight w:val="none"/>
        </w:rPr>
        <w:t>）我方承诺按照招标文件规定向你方递交履约担保。</w:t>
      </w:r>
    </w:p>
    <w:p w14:paraId="3E1DD8A0">
      <w:pPr>
        <w:shd w:val="clear"/>
        <w:spacing w:line="300" w:lineRule="auto"/>
        <w:ind w:firstLine="820" w:firstLineChars="342"/>
        <w:rPr>
          <w:rFonts w:ascii="Times New Roman" w:hAnsi="Times New Roman"/>
          <w:color w:val="000000"/>
          <w:szCs w:val="21"/>
          <w:highlight w:val="none"/>
        </w:rPr>
      </w:pPr>
      <w:r>
        <w:rPr>
          <w:rFonts w:hint="eastAsia" w:ascii="Times New Roman" w:hAnsi="Times New Roman"/>
          <w:color w:val="000000"/>
          <w:szCs w:val="21"/>
          <w:highlight w:val="none"/>
        </w:rPr>
        <w:t>（</w:t>
      </w:r>
      <w:r>
        <w:rPr>
          <w:rFonts w:ascii="Times New Roman" w:hAnsi="Times New Roman"/>
          <w:color w:val="000000"/>
          <w:szCs w:val="21"/>
          <w:highlight w:val="none"/>
        </w:rPr>
        <w:t>4</w:t>
      </w:r>
      <w:r>
        <w:rPr>
          <w:rFonts w:hint="eastAsia" w:ascii="Times New Roman" w:hAnsi="Times New Roman"/>
          <w:color w:val="000000"/>
          <w:szCs w:val="21"/>
          <w:highlight w:val="none"/>
        </w:rPr>
        <w:t>）我方承诺在合同约定的期限交付货物。</w:t>
      </w:r>
    </w:p>
    <w:p w14:paraId="4521B364">
      <w:pPr>
        <w:shd w:val="clear"/>
        <w:spacing w:line="300" w:lineRule="auto"/>
        <w:ind w:firstLine="480" w:firstLineChars="200"/>
        <w:rPr>
          <w:rFonts w:ascii="Times New Roman" w:hAnsi="Times New Roman"/>
          <w:color w:val="000000"/>
          <w:highlight w:val="none"/>
        </w:rPr>
      </w:pPr>
      <w:r>
        <w:rPr>
          <w:rFonts w:ascii="Times New Roman" w:hAnsi="Times New Roman"/>
          <w:color w:val="000000"/>
          <w:szCs w:val="21"/>
          <w:highlight w:val="none"/>
        </w:rPr>
        <w:t>5</w:t>
      </w:r>
      <w:r>
        <w:rPr>
          <w:rFonts w:hint="eastAsia" w:ascii="Times New Roman" w:hAnsi="Times New Roman"/>
          <w:color w:val="000000"/>
          <w:szCs w:val="21"/>
          <w:highlight w:val="none"/>
        </w:rPr>
        <w:t>．</w:t>
      </w:r>
      <w:r>
        <w:rPr>
          <w:rFonts w:hint="eastAsia" w:ascii="Times New Roman" w:hAnsi="Times New Roman"/>
          <w:color w:val="000000"/>
          <w:highlight w:val="none"/>
        </w:rPr>
        <w:t>我方在此声明，所递交的投标文件及有关资料内容完整、真实和准确。</w:t>
      </w:r>
    </w:p>
    <w:p w14:paraId="480862DB">
      <w:pPr>
        <w:shd w:val="clear"/>
        <w:spacing w:line="300" w:lineRule="auto"/>
        <w:ind w:firstLine="480" w:firstLineChars="200"/>
        <w:rPr>
          <w:rFonts w:ascii="Times New Roman" w:hAnsi="Times New Roman"/>
          <w:color w:val="000000"/>
          <w:szCs w:val="21"/>
          <w:highlight w:val="none"/>
        </w:rPr>
      </w:pPr>
      <w:r>
        <w:rPr>
          <w:rFonts w:ascii="Times New Roman" w:hAnsi="Times New Roman"/>
          <w:color w:val="000000"/>
          <w:highlight w:val="none"/>
        </w:rPr>
        <w:t>6.</w:t>
      </w:r>
      <w:r>
        <w:rPr>
          <w:rFonts w:ascii="Times New Roman" w:hAnsi="Times New Roman" w:eastAsia="仿宋_GB2312"/>
          <w:color w:val="000000"/>
          <w:sz w:val="28"/>
          <w:highlight w:val="none"/>
        </w:rPr>
        <w:t xml:space="preserve"> </w:t>
      </w:r>
      <w:r>
        <w:rPr>
          <w:rFonts w:hint="eastAsia" w:ascii="Times New Roman" w:hAnsi="Times New Roman"/>
          <w:color w:val="000000"/>
          <w:highlight w:val="none"/>
        </w:rPr>
        <w:t>我方承诺参加招标活动近三年内无违法犯罪及其它不良行为记录，如有经行政主管部门查实或通报的不良记录，我方放弃参加本次项目招标的权利，并无条件承担相应后果和损失。</w:t>
      </w:r>
    </w:p>
    <w:p w14:paraId="49C8BDB3">
      <w:pPr>
        <w:shd w:val="clear"/>
        <w:spacing w:line="300" w:lineRule="auto"/>
        <w:ind w:firstLine="480" w:firstLineChars="200"/>
        <w:rPr>
          <w:rFonts w:ascii="Times New Roman" w:hAnsi="Times New Roman"/>
          <w:color w:val="000000"/>
          <w:szCs w:val="21"/>
          <w:highlight w:val="none"/>
        </w:rPr>
      </w:pPr>
      <w:r>
        <w:rPr>
          <w:rFonts w:ascii="Times New Roman" w:hAnsi="Times New Roman"/>
          <w:color w:val="000000"/>
          <w:szCs w:val="21"/>
          <w:highlight w:val="none"/>
        </w:rPr>
        <w:t>7</w:t>
      </w:r>
      <w:r>
        <w:rPr>
          <w:rFonts w:hint="eastAsia" w:ascii="Times New Roman" w:hAnsi="Times New Roman"/>
          <w:color w:val="000000"/>
          <w:szCs w:val="21"/>
          <w:highlight w:val="none"/>
        </w:rPr>
        <w:t>．</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（其他补充说明）。</w:t>
      </w:r>
    </w:p>
    <w:p w14:paraId="08A8F69B">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投标人：</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（盖单位章）</w:t>
      </w:r>
    </w:p>
    <w:p w14:paraId="7967DBE4">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法定代表人：</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（签字并盖章）</w:t>
      </w:r>
    </w:p>
    <w:p w14:paraId="771C5246">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委托代理人：</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（签字）</w:t>
      </w:r>
    </w:p>
    <w:p w14:paraId="529F2421">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地址：</w:t>
      </w:r>
      <w:r>
        <w:rPr>
          <w:rFonts w:ascii="Times New Roman" w:hAnsi="Times New Roman"/>
          <w:color w:val="000000"/>
          <w:szCs w:val="21"/>
          <w:highlight w:val="none"/>
          <w:u w:val="single"/>
        </w:rPr>
        <w:t xml:space="preserve">                                     </w:t>
      </w:r>
    </w:p>
    <w:p w14:paraId="67ACDC30">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网址：</w:t>
      </w:r>
      <w:r>
        <w:rPr>
          <w:rFonts w:ascii="Times New Roman" w:hAnsi="Times New Roman"/>
          <w:color w:val="000000"/>
          <w:szCs w:val="21"/>
          <w:highlight w:val="none"/>
          <w:u w:val="single"/>
        </w:rPr>
        <w:t xml:space="preserve">                                     </w:t>
      </w:r>
    </w:p>
    <w:p w14:paraId="407B3440">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电话：</w:t>
      </w:r>
      <w:r>
        <w:rPr>
          <w:rFonts w:ascii="Times New Roman" w:hAnsi="Times New Roman"/>
          <w:color w:val="000000"/>
          <w:szCs w:val="21"/>
          <w:highlight w:val="none"/>
          <w:u w:val="single"/>
        </w:rPr>
        <w:t xml:space="preserve">                                     </w:t>
      </w:r>
    </w:p>
    <w:p w14:paraId="621EB530">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传真：</w:t>
      </w:r>
      <w:r>
        <w:rPr>
          <w:rFonts w:ascii="Times New Roman" w:hAnsi="Times New Roman"/>
          <w:color w:val="000000"/>
          <w:szCs w:val="21"/>
          <w:highlight w:val="none"/>
          <w:u w:val="single"/>
        </w:rPr>
        <w:t xml:space="preserve">                                     </w:t>
      </w:r>
    </w:p>
    <w:p w14:paraId="78E3A3AE">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邮政编码：</w:t>
      </w:r>
      <w:r>
        <w:rPr>
          <w:rFonts w:ascii="Times New Roman" w:hAnsi="Times New Roman"/>
          <w:color w:val="000000"/>
          <w:szCs w:val="21"/>
          <w:highlight w:val="none"/>
          <w:u w:val="single"/>
        </w:rPr>
        <w:t xml:space="preserve">                                 </w:t>
      </w:r>
    </w:p>
    <w:p w14:paraId="30A6DAFF">
      <w:pPr>
        <w:shd w:val="clear"/>
        <w:spacing w:line="300" w:lineRule="auto"/>
        <w:ind w:firstLine="120" w:firstLineChars="50"/>
        <w:jc w:val="right"/>
        <w:rPr>
          <w:rFonts w:ascii="Times New Roman" w:hAnsi="Times New Roman"/>
          <w:color w:val="000000"/>
          <w:szCs w:val="21"/>
          <w:highlight w:val="none"/>
          <w:u w:val="single"/>
        </w:rPr>
      </w:pPr>
    </w:p>
    <w:p w14:paraId="4F87F8B2">
      <w:pPr>
        <w:shd w:val="clear"/>
        <w:spacing w:line="300" w:lineRule="auto"/>
        <w:ind w:firstLine="120" w:firstLineChars="50"/>
        <w:jc w:val="right"/>
        <w:rPr>
          <w:rFonts w:ascii="Times New Roman" w:hAnsi="Times New Roman"/>
          <w:color w:val="000000"/>
          <w:szCs w:val="21"/>
          <w:highlight w:val="none"/>
        </w:rPr>
      </w:pPr>
      <w:r>
        <w:rPr>
          <w:rFonts w:hint="eastAsia" w:ascii="Times New Roman" w:hAnsi="Times New Roman"/>
          <w:color w:val="000000"/>
          <w:szCs w:val="21"/>
          <w:highlight w:val="none"/>
        </w:rPr>
        <w:t xml:space="preserve">               </w:t>
      </w:r>
      <w:r>
        <w:rPr>
          <w:rFonts w:hint="eastAsia" w:ascii="Times New Roman" w:hAnsi="Times New Roman"/>
          <w:color w:val="000000"/>
          <w:szCs w:val="21"/>
          <w:highlight w:val="none"/>
          <w:u w:val="single"/>
        </w:rPr>
        <w:t xml:space="preserve">    </w:t>
      </w:r>
      <w:r>
        <w:rPr>
          <w:rFonts w:hint="eastAsia" w:ascii="Times New Roman" w:hAnsi="Times New Roman"/>
          <w:color w:val="000000"/>
          <w:szCs w:val="21"/>
          <w:highlight w:val="none"/>
        </w:rPr>
        <w:t>年</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月</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日</w:t>
      </w:r>
    </w:p>
    <w:p w14:paraId="761DA4B0">
      <w:pPr>
        <w:shd w:val="clear"/>
        <w:spacing w:line="300" w:lineRule="auto"/>
        <w:ind w:firstLine="5760" w:firstLineChars="2400"/>
        <w:rPr>
          <w:rFonts w:ascii="Times New Roman" w:hAnsi="Times New Roman"/>
          <w:color w:val="000000"/>
          <w:szCs w:val="21"/>
          <w:highlight w:val="none"/>
        </w:rPr>
      </w:pPr>
    </w:p>
    <w:p w14:paraId="4BA7A980">
      <w:pPr>
        <w:pStyle w:val="59"/>
        <w:numPr>
          <w:ilvl w:val="0"/>
          <w:numId w:val="6"/>
        </w:numPr>
        <w:shd w:val="clear"/>
        <w:ind w:left="0" w:leftChars="0" w:firstLine="0" w:firstLineChars="0"/>
        <w:outlineLvl w:val="0"/>
        <w:rPr>
          <w:rFonts w:hint="eastAsia" w:cs="仿宋"/>
          <w:b w:val="0"/>
          <w:highlight w:val="none"/>
        </w:rPr>
      </w:pPr>
      <w:r>
        <w:rPr>
          <w:rFonts w:ascii="Times New Roman" w:hAnsi="Times New Roman" w:eastAsia="黑体"/>
          <w:color w:val="000000"/>
          <w:sz w:val="20"/>
          <w:highlight w:val="none"/>
        </w:rPr>
        <w:br w:type="page"/>
      </w:r>
      <w:bookmarkStart w:id="254" w:name="_Toc391556618"/>
      <w:bookmarkStart w:id="255" w:name="_Toc352160853"/>
      <w:bookmarkStart w:id="256" w:name="_Toc508871758"/>
      <w:bookmarkStart w:id="257" w:name="_Toc20622_WPSOffice_Level1"/>
      <w:bookmarkStart w:id="258" w:name="_Toc506105878"/>
      <w:bookmarkStart w:id="259" w:name="_Toc20711"/>
      <w:bookmarkStart w:id="260" w:name="_Toc13673_WPSOffice_Level1"/>
      <w:r>
        <w:rPr>
          <w:rFonts w:hint="eastAsia" w:cs="仿宋"/>
          <w:b/>
          <w:bCs w:val="0"/>
          <w:highlight w:val="none"/>
        </w:rPr>
        <w:t>报价表</w:t>
      </w:r>
      <w:bookmarkEnd w:id="254"/>
      <w:bookmarkEnd w:id="255"/>
      <w:bookmarkEnd w:id="256"/>
      <w:bookmarkEnd w:id="257"/>
      <w:bookmarkEnd w:id="258"/>
      <w:bookmarkEnd w:id="259"/>
    </w:p>
    <w:p w14:paraId="63351D9D">
      <w:pPr>
        <w:pStyle w:val="59"/>
        <w:numPr>
          <w:ilvl w:val="0"/>
          <w:numId w:val="0"/>
        </w:numPr>
        <w:shd w:val="clear"/>
        <w:ind w:left="0" w:leftChars="0" w:firstLine="0" w:firstLineChars="0"/>
        <w:outlineLvl w:val="1"/>
        <w:rPr>
          <w:rFonts w:hint="default" w:eastAsia="宋体" w:cs="仿宋"/>
          <w:b w:val="0"/>
          <w:highlight w:val="none"/>
          <w:lang w:val="en-US" w:eastAsia="zh-CN"/>
        </w:rPr>
      </w:pPr>
      <w:bookmarkStart w:id="261" w:name="_Toc30515"/>
      <w:r>
        <w:rPr>
          <w:rFonts w:hint="eastAsia" w:cs="仿宋"/>
          <w:b w:val="0"/>
          <w:highlight w:val="none"/>
          <w:lang w:val="en-US" w:eastAsia="zh-CN"/>
        </w:rPr>
        <w:t>2.1分项报价表</w:t>
      </w:r>
      <w:bookmarkEnd w:id="261"/>
    </w:p>
    <w:tbl>
      <w:tblPr>
        <w:tblStyle w:val="46"/>
        <w:tblW w:w="889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8"/>
        <w:gridCol w:w="671"/>
        <w:gridCol w:w="3252"/>
        <w:gridCol w:w="1041"/>
        <w:gridCol w:w="821"/>
        <w:gridCol w:w="1119"/>
        <w:gridCol w:w="1013"/>
      </w:tblGrid>
      <w:tr w14:paraId="0D81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95" w:type="dxa"/>
            <w:gridSpan w:val="7"/>
            <w:tcBorders>
              <w:top w:val="single" w:color="000000" w:sz="4" w:space="0"/>
              <w:left w:val="single" w:color="000000" w:sz="4" w:space="0"/>
              <w:bottom w:val="single" w:color="000000" w:sz="4" w:space="0"/>
              <w:right w:val="single" w:color="000000" w:sz="4" w:space="0"/>
            </w:tcBorders>
            <w:noWrap w:val="0"/>
            <w:vAlign w:val="center"/>
          </w:tcPr>
          <w:p w14:paraId="391990F2">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分项报价表</w:t>
            </w:r>
          </w:p>
        </w:tc>
      </w:tr>
      <w:tr w14:paraId="0995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FD70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种类</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07FA0">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430E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维修保养项目名称</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60709">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预估</w:t>
            </w:r>
            <w:r>
              <w:rPr>
                <w:rFonts w:hint="eastAsia" w:ascii="宋体" w:hAnsi="宋体" w:eastAsia="宋体" w:cs="宋体"/>
                <w:i w:val="0"/>
                <w:iCs w:val="0"/>
                <w:color w:val="000000"/>
                <w:kern w:val="0"/>
                <w:sz w:val="21"/>
                <w:szCs w:val="21"/>
                <w:u w:val="none"/>
                <w:lang w:val="en-US" w:eastAsia="zh-CN" w:bidi="ar"/>
              </w:rPr>
              <w:t>工程量</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6955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92182">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51F0D">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单项合计（元）</w:t>
            </w:r>
          </w:p>
        </w:tc>
      </w:tr>
      <w:tr w14:paraId="0DEB3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522E1C">
            <w:pPr>
              <w:keepNext w:val="0"/>
              <w:keepLines w:val="0"/>
              <w:widowControl/>
              <w:suppressLineNumbers w:val="0"/>
              <w:shd w:val="clear" w:color="auto" w:fill="auto"/>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1.5kW及以下电机</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79D2FB0">
            <w:pPr>
              <w:keepNext w:val="0"/>
              <w:keepLines w:val="0"/>
              <w:widowControl/>
              <w:suppressLineNumbers w:val="0"/>
              <w:shd w:val="clear" w:color="auto" w:fill="auto"/>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70E5C537">
            <w:pPr>
              <w:keepNext w:val="0"/>
              <w:keepLines w:val="0"/>
              <w:widowControl/>
              <w:suppressLineNumbers w:val="0"/>
              <w:shd w:val="clear" w:color="auto" w:fill="auto"/>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电机大修（更换线圈、外观刷漆、浸漆）</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4582A98">
            <w:pPr>
              <w:keepNext w:val="0"/>
              <w:keepLines w:val="0"/>
              <w:widowControl/>
              <w:suppressLineNumbers w:val="0"/>
              <w:shd w:val="clear" w:color="auto" w:fill="auto"/>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1F88984">
            <w:pPr>
              <w:keepNext w:val="0"/>
              <w:keepLines w:val="0"/>
              <w:widowControl/>
              <w:suppressLineNumbers w:val="0"/>
              <w:shd w:val="clear" w:color="auto" w:fill="auto"/>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1B1CDA59">
            <w:pPr>
              <w:shd w:val="clear" w:color="auto" w:fill="auto"/>
              <w:jc w:val="both"/>
              <w:rPr>
                <w:rFonts w:hint="default" w:ascii="宋体" w:hAnsi="宋体" w:eastAsia="宋体" w:cs="宋体"/>
                <w:i w:val="0"/>
                <w:iCs w:val="0"/>
                <w:color w:val="000000"/>
                <w:kern w:val="0"/>
                <w:sz w:val="21"/>
                <w:szCs w:val="21"/>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E3019BB">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2B15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6CC51">
            <w:pPr>
              <w:keepNext w:val="0"/>
              <w:keepLines w:val="0"/>
              <w:widowControl/>
              <w:suppressLineNumbers w:val="0"/>
              <w:shd w:val="clear" w:color="auto" w:fill="auto"/>
              <w:jc w:val="center"/>
              <w:textAlignment w:val="bottom"/>
              <w:rPr>
                <w:rFonts w:hint="eastAsia" w:ascii="宋体" w:hAnsi="宋体" w:eastAsia="宋体" w:cs="宋体"/>
                <w:i w:val="0"/>
                <w:iCs w:val="0"/>
                <w:color w:val="000000"/>
                <w:kern w:val="0"/>
                <w:sz w:val="21"/>
                <w:szCs w:val="21"/>
                <w:u w:val="none"/>
                <w:lang w:val="en-US"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ED48912">
            <w:pPr>
              <w:keepNext w:val="0"/>
              <w:keepLines w:val="0"/>
              <w:widowControl/>
              <w:suppressLineNumbers w:val="0"/>
              <w:shd w:val="clear" w:color="auto" w:fill="auto"/>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13F4B070">
            <w:pPr>
              <w:keepNext w:val="0"/>
              <w:keepLines w:val="0"/>
              <w:widowControl/>
              <w:suppressLineNumbers w:val="0"/>
              <w:shd w:val="clear" w:color="auto" w:fill="auto"/>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更换轴承</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E09DF18">
            <w:pPr>
              <w:keepNext w:val="0"/>
              <w:keepLines w:val="0"/>
              <w:widowControl/>
              <w:suppressLineNumbers w:val="0"/>
              <w:shd w:val="clear" w:color="auto" w:fill="auto"/>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59ECDCD2">
            <w:pPr>
              <w:keepNext w:val="0"/>
              <w:keepLines w:val="0"/>
              <w:widowControl/>
              <w:suppressLineNumbers w:val="0"/>
              <w:shd w:val="clear" w:color="auto" w:fill="auto"/>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盘</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F755E88">
            <w:pPr>
              <w:shd w:val="clear" w:color="auto" w:fill="auto"/>
              <w:jc w:val="center"/>
              <w:rPr>
                <w:rFonts w:hint="default" w:ascii="宋体" w:hAnsi="宋体" w:eastAsia="宋体" w:cs="宋体"/>
                <w:i w:val="0"/>
                <w:iCs w:val="0"/>
                <w:color w:val="000000"/>
                <w:kern w:val="0"/>
                <w:sz w:val="21"/>
                <w:szCs w:val="21"/>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317AC1B">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11538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5BF44">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F0ED802">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4C139639">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端盖修复</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7A5288B">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7D378709">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处</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D6EB90B">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3F620BF">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18DA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2F9B2">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17A7FF9">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1799FC5D">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转子修复</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0E2944E">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5977C2E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B2F1E4D">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FE0BB03">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1AC3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5B54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EB4F29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1C67D604">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接线端子更换</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6300B1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081AC21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EBDB305">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EC025C9">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0FF73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C8A89">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F6999BE">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17297D63">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风扇罩修复</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417E484">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05EAC71E">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2850253">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94F2EBD">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05CBA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5C6D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BBA88F8">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1D7FE11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电机保养</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24D3CFB">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50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42D6C985">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0923338">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8F63314">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5581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903C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DB08AB3">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07BBDF35">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更换风叶</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9C992A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0295E721">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FF03E4D">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E798A78">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647A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7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73476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1.5kW以上低压电机</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837E188">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7C693BA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电机大修（更换线圈、外观刷漆、浸漆）</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EDAE66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1200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3015F9FC">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1C5CD89">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F0CB686">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2FE5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DE953">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89343DD">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22723C3D">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换轴承（</w:t>
            </w:r>
            <w:r>
              <w:rPr>
                <w:rFonts w:hint="eastAsia" w:cs="宋体"/>
                <w:i w:val="0"/>
                <w:iCs w:val="0"/>
                <w:color w:val="000000"/>
                <w:kern w:val="0"/>
                <w:sz w:val="21"/>
                <w:szCs w:val="21"/>
                <w:highlight w:val="none"/>
                <w:u w:val="none"/>
                <w:lang w:val="en-US" w:eastAsia="zh-CN" w:bidi="ar"/>
              </w:rPr>
              <w:t>单个</w:t>
            </w:r>
            <w:r>
              <w:rPr>
                <w:rFonts w:hint="eastAsia" w:ascii="宋体" w:hAnsi="宋体" w:eastAsia="宋体" w:cs="宋体"/>
                <w:i w:val="0"/>
                <w:iCs w:val="0"/>
                <w:color w:val="000000"/>
                <w:kern w:val="0"/>
                <w:sz w:val="21"/>
                <w:szCs w:val="21"/>
                <w:highlight w:val="none"/>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C60EC2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2300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5F44F97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C535667">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19288A7">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1F87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5C8B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EDC7348">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0EF9FCF8">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端盖修复（单侧）</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EA6835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300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15342B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2DC8451">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C928131">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6CB9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30BD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B6112D5">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1722801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转子修复</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90074C1">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300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51500629">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32301F99">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1131221">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5C9B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FB32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082E8F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7171887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接线端子更换</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833E6E1">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100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554C448D">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FF9286F">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EDE5C11">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17C7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C3355">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6AC605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752C3F02">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风扇罩修复</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BE978B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200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539B56D5">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F081202">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E34D06A">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63FDA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28828">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418882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2CA0E1CB">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电机保养</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6B0181E">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1000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29786C0C">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1EE1B2D">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DAF6297">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0BF7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B8C2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C3F9DCC">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2351614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更换风叶</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4185CD1">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315</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15071849">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FF634B4">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D378F05">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0A325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exact"/>
        </w:trPr>
        <w:tc>
          <w:tcPr>
            <w:tcW w:w="9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A53DD3">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变频电机用冷却风机</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2FEC262">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5F9DB121">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G-80变频电机冷却风机维修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19F4C1D">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7333577B">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99B1AF0">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7B0458A">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16AA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exac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5044FB">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39EC3D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194C854B">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G-90变频电机冷却风机维修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8642364">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C28FC2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A3A170C">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1EC37D9">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6CA72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exac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6E05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2FDF55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603F368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G-100变频电机冷却风机维修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08D3281">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08E050D5">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015E9F5">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2630017">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240C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exac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ED7A9">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77DA5D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09973131">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G-112变频电机冷却风机维修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A2A6443">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309E5D9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568FAD3">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6A13EDD">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00A3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exac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52A31">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3AB84D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06EB8F2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G-132变频电机冷却风机维修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F1948B1">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183ED86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1C7A967">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FE20B79">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3831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exac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F8911">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D3E5D5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448531C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G-160变频电机冷却风机维修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5CB7E5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3ADC3C7C">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FEC7A67">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CEE2343">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62FF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exac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75FF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99BB5CC">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27D12C22">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G-180变频电机冷却风机维修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3304E8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72936785">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1877FCBF">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B4902D7">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23C5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exac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50925">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39FE195">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693C59B2">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G-200变频电机冷却风机维修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EDE0E33">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46CC59B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E4783B1">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2F9FA94">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7245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exac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A4638">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76F501D">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9</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659F78EE">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G-225变频电机冷却风机维修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7B245CB">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10F73E34">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B081566">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C71AD60">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5BB3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exac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CA2F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BFF18AC">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5383FF5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G-250变频电机冷却风机维修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B61307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09F4DBF5">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14717A07">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BDA97E7">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76A9D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exac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34A89">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7FEC2B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55F7064C">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G-280变频电机冷却风机维修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77C089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2FF3372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16AF0A9E">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DA220E4">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2204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exac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6F63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ACD5FA4">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0D7D206E">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G-315变频电机冷却风机维修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5B3AC1B">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4EE91434">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1B82633">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3D8E872">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353B1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C0AC6E2">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振动电机</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67248A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17B1D77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电机大修（更换线圈、外观刷漆、浸漆）</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F6D8873">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60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4534DC68">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DB0F6BA">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13899A8">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7D62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33EE3B">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DFAAA4B">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6CA57B2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换轴承（单个）</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D15FA83">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60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51ED4878">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C1CDDC3">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897BC8F">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761F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A903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A462A1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6CB9B2A4">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端盖修复（单侧）</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FCAFC6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76FDAB95">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8AE6A82">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E1DFD3C">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678D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83AB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9CA64C3">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37183F62">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转子修复</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67339B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C874A2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46DB380">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A402302">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545F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EAC4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BACEE81">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3DDB8C18">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更换接线端子和外引线</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00616A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77245B3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F43214D">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E1BDF45">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7A4B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8D51F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51C1789">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502A44E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防护罩修复</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41B6A7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E9674A5">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1288ECBA">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45059FD">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6280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F6E68">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D4F4F1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07D82B8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修补振动块</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DBCC54D">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557463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5231D99">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00B2386">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2E8F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7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A5F6BC">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普通潜水泵（单叶轮）</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219BCA1">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32B4D39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电机大修（更换线圈、外观刷漆、浸漆）</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E2D8F0B">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0C3823B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907E1EA">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4A7BDE5">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4EA2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1EC0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9CCA821">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7ECDDF9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换轴承（单个）</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36A374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21A3D292">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6AFDB44">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36E5F9B">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6FA9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5A7F5C">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42E6A88">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4ECB195D">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轴承端盖修复（单侧）</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F61BE1C">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37BEF7D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1E6ED647">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6DE71D3">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02F9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BEDD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ED6A73C">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12BF9DAC">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转子修复</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823DFB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3E3834A2">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618BF13">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E27286A">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45E1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F7A49">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5D413B4">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34FBF65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修复外引线</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8EA33EB">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2705BE6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87BD443">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890451F">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4E7A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D3AF5">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D1677B4">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0847C1A4">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更换叶轮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89274E3">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370DE65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891C308">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1378FFF">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3507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AC0C2">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BCFCFEB">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4EE4A51C">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更换叶轮防护罩</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F0C25F2">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821" w:type="dxa"/>
            <w:tcBorders>
              <w:top w:val="single" w:color="000000" w:sz="4" w:space="0"/>
              <w:left w:val="single" w:color="000000" w:sz="4" w:space="0"/>
              <w:bottom w:val="single" w:color="000000" w:sz="4" w:space="0"/>
              <w:right w:val="single" w:color="auto" w:sz="4" w:space="0"/>
            </w:tcBorders>
            <w:noWrap w:val="0"/>
            <w:vAlign w:val="center"/>
          </w:tcPr>
          <w:p w14:paraId="09584113">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auto" w:sz="4" w:space="0"/>
            </w:tcBorders>
            <w:noWrap w:val="0"/>
            <w:vAlign w:val="center"/>
          </w:tcPr>
          <w:p w14:paraId="4DE340B7">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auto" w:sz="4" w:space="0"/>
            </w:tcBorders>
            <w:noWrap w:val="0"/>
            <w:vAlign w:val="center"/>
          </w:tcPr>
          <w:p w14:paraId="27594E6E">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57D7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4DD33">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3DF1653">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7115A01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更换机械密封</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BA7BD6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821" w:type="dxa"/>
            <w:tcBorders>
              <w:top w:val="single" w:color="000000" w:sz="4" w:space="0"/>
              <w:left w:val="single" w:color="000000" w:sz="4" w:space="0"/>
              <w:bottom w:val="single" w:color="000000" w:sz="4" w:space="0"/>
              <w:right w:val="single" w:color="auto" w:sz="4" w:space="0"/>
            </w:tcBorders>
            <w:noWrap w:val="0"/>
            <w:vAlign w:val="center"/>
          </w:tcPr>
          <w:p w14:paraId="3BF73D7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auto" w:sz="4" w:space="0"/>
            </w:tcBorders>
            <w:noWrap w:val="0"/>
            <w:vAlign w:val="center"/>
          </w:tcPr>
          <w:p w14:paraId="03653B48">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auto" w:sz="4" w:space="0"/>
            </w:tcBorders>
            <w:noWrap w:val="0"/>
            <w:vAlign w:val="center"/>
          </w:tcPr>
          <w:p w14:paraId="64BC1794">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3D06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78" w:type="dxa"/>
            <w:vMerge w:val="restart"/>
            <w:tcBorders>
              <w:top w:val="single" w:color="000000" w:sz="4" w:space="0"/>
              <w:left w:val="single" w:color="000000" w:sz="4" w:space="0"/>
              <w:bottom w:val="single" w:color="000000" w:sz="4" w:space="0"/>
              <w:right w:val="single" w:color="000000" w:sz="4" w:space="0"/>
            </w:tcBorders>
            <w:noWrap w:val="0"/>
            <w:vAlign w:val="center"/>
          </w:tcPr>
          <w:p w14:paraId="50B01C5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多级泵</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D1761D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58A349A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电机大修（更换线圈、外观刷漆、浸漆）</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1217C2C">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5BD4FF43">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1B44EA6F">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8D7305F">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6C14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65E0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C1A122D">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2C247DB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更换机械密封</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763F553">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72DD273B">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3799DBED">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779C237">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0775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A13A5">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4A841B9">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50353727">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更换橡胶轴承及附件（单个）</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1C2C1C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4D2EEB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660D074">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E1E25CD">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605B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71250">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30BEA3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03F37F51">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更换推力轴承及附件（单个）</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2E4D86D">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057253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C641B3D">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043B717">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18BAB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BA89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D3D1F82">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0C3CECBB">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更换石墨轴承及附件（单个）</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6E99361">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5E95D29E">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A9A9B5D">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9855CC7">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7400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7E32A">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D59ADF1">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57BD21E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更换叶轮及导叶（单个）</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CFDC3E4">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0F6B050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1C87B5A1">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0EC1813">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2B6AD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4AD91">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8DF121F">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7AAD9235">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维修泵轴</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4A93A8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1F0667A1">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4592B6C">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F365A81">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52AF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456ED">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2F4ECDC">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0AF7AEB3">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更换直推阀</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D4989C9">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7AEADB04">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36C7FB62">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5CB06AE">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1FCB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CE29C">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F1C05B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9</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6FF9E89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更换进/出水节</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85E2ECD">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44BC4448">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C797A7C">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21D9B16">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5C48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3ADA6">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F203F04">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11DBEEBC">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更换外引线</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06BF9E4">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2D1159EB">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EEAEC05">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64572C2">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4FC4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1B45B">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BBED038">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021869E9">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更换泵头</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203D0ED">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77370605">
            <w:pPr>
              <w:keepNext w:val="0"/>
              <w:keepLines w:val="0"/>
              <w:widowControl/>
              <w:suppressLineNumbers w:val="0"/>
              <w:shd w:val="clear" w:color="auto" w:fill="auto"/>
              <w:jc w:val="center"/>
              <w:textAlignment w:val="bottom"/>
              <w:rPr>
                <w:rFonts w:hint="default" w:ascii="宋体" w:hAnsi="宋体" w:eastAsia="宋体" w:cs="宋体"/>
                <w:i w:val="0"/>
                <w:iCs w:val="0"/>
                <w:color w:val="000000"/>
                <w:kern w:val="0"/>
                <w:sz w:val="21"/>
                <w:szCs w:val="21"/>
                <w:u w:val="none"/>
                <w:lang w:eastAsia="zh-CN" w:bidi="ar"/>
              </w:rPr>
            </w:pPr>
            <w:r>
              <w:rPr>
                <w:rFonts w:hint="eastAsia" w:ascii="宋体" w:hAnsi="宋体" w:eastAsia="宋体" w:cs="宋体"/>
                <w:i w:val="0"/>
                <w:iCs w:val="0"/>
                <w:color w:val="000000"/>
                <w:kern w:val="0"/>
                <w:sz w:val="21"/>
                <w:szCs w:val="21"/>
                <w:highlight w:val="none"/>
                <w:u w:val="none"/>
                <w:lang w:val="en-US" w:eastAsia="zh-CN" w:bidi="ar"/>
              </w:rPr>
              <w:t>kw</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01EC911">
            <w:pPr>
              <w:shd w:val="clear" w:color="auto" w:fill="auto"/>
              <w:jc w:val="center"/>
              <w:rPr>
                <w:rFonts w:hint="default" w:ascii="宋体" w:hAnsi="宋体" w:eastAsia="宋体" w:cs="宋体"/>
                <w:i w:val="0"/>
                <w:iCs w:val="0"/>
                <w:color w:val="000000"/>
                <w:kern w:val="0"/>
                <w:sz w:val="21"/>
                <w:szCs w:val="21"/>
                <w:u w:val="none"/>
                <w:lang w:eastAsia="zh-CN"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2469C43">
            <w:pPr>
              <w:shd w:val="clear" w:color="auto" w:fill="auto"/>
              <w:jc w:val="center"/>
              <w:rPr>
                <w:rFonts w:hint="default" w:ascii="宋体" w:hAnsi="宋体" w:eastAsia="宋体" w:cs="宋体"/>
                <w:i w:val="0"/>
                <w:iCs w:val="0"/>
                <w:color w:val="000000"/>
                <w:kern w:val="0"/>
                <w:sz w:val="21"/>
                <w:szCs w:val="21"/>
                <w:u w:val="none"/>
                <w:lang w:eastAsia="zh-CN" w:bidi="ar"/>
              </w:rPr>
            </w:pPr>
          </w:p>
        </w:tc>
      </w:tr>
      <w:tr w14:paraId="2FAE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95" w:type="dxa"/>
            <w:gridSpan w:val="7"/>
            <w:tcBorders>
              <w:top w:val="single" w:color="000000" w:sz="4" w:space="0"/>
              <w:left w:val="single" w:color="000000" w:sz="4" w:space="0"/>
              <w:bottom w:val="single" w:color="000000" w:sz="4" w:space="0"/>
              <w:right w:val="single" w:color="000000" w:sz="4" w:space="0"/>
            </w:tcBorders>
            <w:noWrap w:val="0"/>
            <w:vAlign w:val="center"/>
          </w:tcPr>
          <w:p w14:paraId="43383420">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总计</w:t>
            </w:r>
            <w:r>
              <w:rPr>
                <w:rFonts w:hint="eastAsia"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元（大写：元整），含税</w:t>
            </w:r>
            <w:r>
              <w:rPr>
                <w:rFonts w:hint="eastAsia"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p>
        </w:tc>
      </w:tr>
    </w:tbl>
    <w:p w14:paraId="06E5D535">
      <w:pPr>
        <w:pStyle w:val="2"/>
        <w:shd w:val="clear"/>
        <w:rPr>
          <w:rFonts w:hint="eastAsia"/>
          <w:highlight w:val="none"/>
        </w:rPr>
      </w:pPr>
    </w:p>
    <w:p w14:paraId="7E7AB00B">
      <w:pPr>
        <w:shd w:val="clear"/>
        <w:autoSpaceDE w:val="0"/>
        <w:autoSpaceDN w:val="0"/>
        <w:adjustRightInd w:val="0"/>
        <w:snapToGrid w:val="0"/>
        <w:spacing w:line="360" w:lineRule="auto"/>
        <w:ind w:firstLine="4560" w:firstLineChars="1900"/>
        <w:rPr>
          <w:rFonts w:hint="eastAsia" w:cs="仿宋"/>
          <w:highlight w:val="none"/>
        </w:rPr>
      </w:pPr>
      <w:r>
        <w:rPr>
          <w:rFonts w:hint="eastAsia" w:cs="仿宋"/>
          <w:highlight w:val="none"/>
        </w:rPr>
        <w:t>投标人：（盖单位章）</w:t>
      </w:r>
    </w:p>
    <w:p w14:paraId="7DF4921D">
      <w:pPr>
        <w:shd w:val="clear"/>
        <w:spacing w:line="360" w:lineRule="auto"/>
        <w:ind w:firstLine="4560" w:firstLineChars="1900"/>
        <w:rPr>
          <w:rFonts w:hint="eastAsia" w:cs="仿宋"/>
          <w:highlight w:val="none"/>
        </w:rPr>
      </w:pPr>
      <w:r>
        <w:rPr>
          <w:rFonts w:hint="eastAsia" w:cs="仿宋"/>
          <w:highlight w:val="none"/>
        </w:rPr>
        <w:t>法定代表人或其委托代理人：（签字）</w:t>
      </w:r>
    </w:p>
    <w:p w14:paraId="23CD00D0">
      <w:pPr>
        <w:shd w:val="clear"/>
        <w:spacing w:line="360" w:lineRule="auto"/>
        <w:ind w:firstLine="6960" w:firstLineChars="2900"/>
        <w:rPr>
          <w:rFonts w:hint="eastAsia" w:cs="仿宋"/>
          <w:highlight w:val="none"/>
        </w:rPr>
      </w:pPr>
      <w:r>
        <w:rPr>
          <w:rFonts w:hint="eastAsia" w:cs="仿宋"/>
          <w:highlight w:val="none"/>
        </w:rPr>
        <w:t>年  月  日</w:t>
      </w:r>
    </w:p>
    <w:p w14:paraId="610F2351">
      <w:pPr>
        <w:pStyle w:val="59"/>
        <w:numPr>
          <w:ilvl w:val="0"/>
          <w:numId w:val="0"/>
        </w:numPr>
        <w:shd w:val="clear"/>
        <w:ind w:leftChars="0"/>
        <w:outlineLvl w:val="9"/>
        <w:rPr>
          <w:rFonts w:hint="eastAsia" w:cs="仿宋"/>
          <w:b w:val="0"/>
          <w:highlight w:val="none"/>
        </w:rPr>
      </w:pPr>
    </w:p>
    <w:p w14:paraId="53ECA60F">
      <w:pPr>
        <w:shd w:val="clear"/>
        <w:spacing w:line="360" w:lineRule="auto"/>
        <w:outlineLvl w:val="1"/>
        <w:rPr>
          <w:rFonts w:cs="仿宋"/>
          <w:b w:val="0"/>
          <w:bCs/>
          <w:highlight w:val="none"/>
        </w:rPr>
      </w:pPr>
      <w:bookmarkStart w:id="262" w:name="_Toc2996"/>
      <w:r>
        <w:rPr>
          <w:rFonts w:hint="eastAsia" w:cs="仿宋"/>
          <w:b w:val="0"/>
          <w:bCs/>
          <w:highlight w:val="none"/>
          <w:lang w:val="en-US" w:eastAsia="zh-CN"/>
        </w:rPr>
        <w:t>2</w:t>
      </w:r>
      <w:r>
        <w:rPr>
          <w:rFonts w:hint="eastAsia" w:cs="仿宋"/>
          <w:b w:val="0"/>
          <w:bCs/>
          <w:highlight w:val="none"/>
        </w:rPr>
        <w:t>.</w:t>
      </w:r>
      <w:r>
        <w:rPr>
          <w:rFonts w:hint="eastAsia" w:cs="仿宋"/>
          <w:b w:val="0"/>
          <w:bCs/>
          <w:highlight w:val="none"/>
          <w:lang w:val="en-US" w:eastAsia="zh-CN"/>
        </w:rPr>
        <w:t>2</w:t>
      </w:r>
      <w:r>
        <w:rPr>
          <w:rFonts w:hint="eastAsia" w:cs="仿宋"/>
          <w:b w:val="0"/>
          <w:bCs/>
          <w:highlight w:val="none"/>
        </w:rPr>
        <w:t>报价说明：</w:t>
      </w:r>
      <w:bookmarkEnd w:id="262"/>
    </w:p>
    <w:p w14:paraId="1C7C8D84">
      <w:pPr>
        <w:shd w:val="clear"/>
        <w:tabs>
          <w:tab w:val="left" w:pos="945"/>
        </w:tabs>
        <w:spacing w:line="360" w:lineRule="auto"/>
        <w:ind w:firstLine="480" w:firstLineChars="200"/>
        <w:rPr>
          <w:rFonts w:cs="仿宋"/>
          <w:highlight w:val="none"/>
        </w:rPr>
      </w:pPr>
      <w:r>
        <w:rPr>
          <w:rFonts w:hint="eastAsia" w:cs="仿宋"/>
          <w:highlight w:val="none"/>
        </w:rPr>
        <w:t>（1）报价表应按本招标文件规定的格式填写。</w:t>
      </w:r>
    </w:p>
    <w:p w14:paraId="0ABCF710">
      <w:pPr>
        <w:shd w:val="clear"/>
        <w:tabs>
          <w:tab w:val="left" w:pos="945"/>
        </w:tabs>
        <w:spacing w:line="360" w:lineRule="auto"/>
        <w:ind w:firstLine="480" w:firstLineChars="200"/>
        <w:rPr>
          <w:rFonts w:cs="仿宋"/>
          <w:highlight w:val="none"/>
        </w:rPr>
      </w:pPr>
      <w:r>
        <w:rPr>
          <w:rFonts w:hint="eastAsia" w:cs="仿宋"/>
          <w:highlight w:val="none"/>
        </w:rPr>
        <w:t>（2）报价币种为人民币。</w:t>
      </w:r>
    </w:p>
    <w:p w14:paraId="6A8BAA38">
      <w:pPr>
        <w:shd w:val="clear"/>
        <w:tabs>
          <w:tab w:val="left" w:pos="945"/>
        </w:tabs>
        <w:spacing w:line="360" w:lineRule="auto"/>
        <w:ind w:firstLine="480" w:firstLineChars="200"/>
        <w:rPr>
          <w:rFonts w:cs="仿宋"/>
          <w:highlight w:val="none"/>
        </w:rPr>
      </w:pPr>
      <w:r>
        <w:rPr>
          <w:rFonts w:hint="eastAsia" w:cs="仿宋"/>
          <w:highlight w:val="none"/>
        </w:rPr>
        <w:t>（3）如果按单价计算的结果与总价不一致，以单价为准修正总价。</w:t>
      </w:r>
    </w:p>
    <w:p w14:paraId="34EA70AD">
      <w:pPr>
        <w:shd w:val="clear"/>
        <w:tabs>
          <w:tab w:val="left" w:pos="945"/>
        </w:tabs>
        <w:spacing w:line="360" w:lineRule="auto"/>
        <w:ind w:firstLine="480" w:firstLineChars="200"/>
        <w:rPr>
          <w:rFonts w:cs="仿宋"/>
          <w:highlight w:val="none"/>
        </w:rPr>
      </w:pPr>
      <w:r>
        <w:rPr>
          <w:rFonts w:hint="eastAsia" w:cs="仿宋"/>
          <w:highlight w:val="none"/>
        </w:rPr>
        <w:t>（4）报价清单中有计算或汇总中的算术错误时，将按招标须知中有关规定执行。</w:t>
      </w:r>
    </w:p>
    <w:p w14:paraId="1A6D6F92">
      <w:pPr>
        <w:shd w:val="clear"/>
        <w:tabs>
          <w:tab w:val="left" w:pos="945"/>
        </w:tabs>
        <w:spacing w:line="360" w:lineRule="auto"/>
        <w:ind w:firstLine="480" w:firstLineChars="200"/>
        <w:rPr>
          <w:rFonts w:cs="仿宋"/>
          <w:highlight w:val="none"/>
        </w:rPr>
      </w:pPr>
      <w:r>
        <w:rPr>
          <w:rFonts w:hint="eastAsia" w:cs="仿宋"/>
          <w:highlight w:val="none"/>
        </w:rPr>
        <w:t>（5）报价中包含</w:t>
      </w:r>
      <w:r>
        <w:rPr>
          <w:rFonts w:hint="eastAsia" w:ascii="宋体" w:hAnsi="宋体" w:cs="宋体"/>
          <w:color w:val="000000"/>
          <w:sz w:val="24"/>
          <w:highlight w:val="none"/>
        </w:rPr>
        <w:t>材料费、</w:t>
      </w:r>
      <w:r>
        <w:rPr>
          <w:rFonts w:hint="eastAsia" w:ascii="宋体" w:hAnsi="宋体" w:cs="宋体"/>
          <w:color w:val="000000"/>
          <w:sz w:val="24"/>
          <w:highlight w:val="none"/>
          <w:lang w:val="zh-CN"/>
        </w:rPr>
        <w:t>往返运输、</w:t>
      </w:r>
      <w:r>
        <w:rPr>
          <w:rFonts w:hint="eastAsia" w:ascii="宋体" w:hAnsi="宋体" w:cs="宋体"/>
          <w:color w:val="000000"/>
          <w:sz w:val="24"/>
          <w:highlight w:val="none"/>
        </w:rPr>
        <w:t>人工、</w:t>
      </w:r>
      <w:r>
        <w:rPr>
          <w:rFonts w:hint="eastAsia" w:ascii="宋体" w:hAnsi="宋体" w:cs="宋体"/>
          <w:color w:val="000000"/>
          <w:sz w:val="24"/>
          <w:highlight w:val="none"/>
          <w:lang w:val="zh-CN"/>
        </w:rPr>
        <w:t>试验</w:t>
      </w:r>
      <w:r>
        <w:rPr>
          <w:rFonts w:hint="eastAsia" w:ascii="宋体" w:hAnsi="宋体" w:cs="宋体"/>
          <w:color w:val="000000"/>
          <w:sz w:val="24"/>
          <w:highlight w:val="none"/>
        </w:rPr>
        <w:t>等费用</w:t>
      </w:r>
      <w:r>
        <w:rPr>
          <w:rFonts w:hint="eastAsia" w:cs="仿宋"/>
          <w:highlight w:val="none"/>
        </w:rPr>
        <w:t>。</w:t>
      </w:r>
    </w:p>
    <w:p w14:paraId="636C7E5A">
      <w:pPr>
        <w:shd w:val="clear"/>
        <w:tabs>
          <w:tab w:val="left" w:pos="945"/>
        </w:tabs>
        <w:spacing w:line="360" w:lineRule="auto"/>
        <w:ind w:firstLine="480" w:firstLineChars="200"/>
        <w:rPr>
          <w:rFonts w:cs="仿宋"/>
          <w:highlight w:val="none"/>
        </w:rPr>
      </w:pPr>
      <w:r>
        <w:rPr>
          <w:rFonts w:hint="eastAsia" w:cs="仿宋"/>
          <w:highlight w:val="none"/>
        </w:rPr>
        <w:t>（6）本项目为固定总价项目，合同价格包括完成项目所需的各种费用，且在合同执行过程中不作任何调整。</w:t>
      </w:r>
    </w:p>
    <w:p w14:paraId="0C7D927D">
      <w:pPr>
        <w:shd w:val="clear"/>
        <w:tabs>
          <w:tab w:val="left" w:pos="945"/>
        </w:tabs>
        <w:spacing w:line="360" w:lineRule="auto"/>
        <w:ind w:left="1027" w:leftChars="228" w:hanging="480" w:hangingChars="200"/>
        <w:rPr>
          <w:rFonts w:cs="仿宋"/>
          <w:highlight w:val="none"/>
        </w:rPr>
      </w:pPr>
      <w:r>
        <w:rPr>
          <w:rFonts w:hint="eastAsia" w:cs="仿宋"/>
          <w:highlight w:val="none"/>
        </w:rPr>
        <w:t>（7）若投标人对某些项目未报价，则应认为已包括在总报价内。</w:t>
      </w:r>
    </w:p>
    <w:p w14:paraId="7BA4D00F">
      <w:pPr>
        <w:shd w:val="clear"/>
        <w:tabs>
          <w:tab w:val="left" w:pos="945"/>
        </w:tabs>
        <w:spacing w:line="360" w:lineRule="auto"/>
        <w:ind w:firstLine="480" w:firstLineChars="200"/>
        <w:rPr>
          <w:rFonts w:cs="仿宋"/>
          <w:highlight w:val="none"/>
        </w:rPr>
      </w:pPr>
      <w:r>
        <w:rPr>
          <w:rFonts w:hint="eastAsia" w:cs="仿宋"/>
          <w:highlight w:val="none"/>
        </w:rPr>
        <w:t>（8）</w:t>
      </w:r>
      <w:r>
        <w:rPr>
          <w:rFonts w:cs="仿宋"/>
          <w:highlight w:val="none"/>
        </w:rPr>
        <w:t>报价</w:t>
      </w:r>
      <w:r>
        <w:rPr>
          <w:rFonts w:hint="eastAsia" w:cs="仿宋"/>
          <w:highlight w:val="none"/>
        </w:rPr>
        <w:t>为</w:t>
      </w:r>
      <w:r>
        <w:rPr>
          <w:rFonts w:cs="仿宋"/>
          <w:highlight w:val="none"/>
        </w:rPr>
        <w:t>增值税专用发票价格</w:t>
      </w:r>
      <w:r>
        <w:rPr>
          <w:rFonts w:hint="eastAsia" w:cs="仿宋"/>
          <w:highlight w:val="none"/>
        </w:rPr>
        <w:t>（以人民币报价的方式）。</w:t>
      </w:r>
    </w:p>
    <w:p w14:paraId="11D96E82">
      <w:pPr>
        <w:rPr>
          <w:rFonts w:hint="eastAsia" w:cs="仿宋"/>
          <w:highlight w:val="none"/>
          <w:lang w:val="en-US" w:eastAsia="zh-CN"/>
        </w:rPr>
      </w:pPr>
      <w:r>
        <w:rPr>
          <w:rFonts w:hint="eastAsia" w:cs="仿宋"/>
          <w:highlight w:val="none"/>
          <w:lang w:val="en-US" w:eastAsia="zh-CN"/>
        </w:rPr>
        <w:br w:type="page"/>
      </w:r>
    </w:p>
    <w:p w14:paraId="7BDC8BF7">
      <w:pPr>
        <w:keepNext/>
        <w:keepLines/>
        <w:shd w:val="clear"/>
        <w:spacing w:before="240" w:beforeLines="100" w:after="120" w:line="520" w:lineRule="exact"/>
        <w:ind w:right="601" w:rightChars="0"/>
        <w:outlineLvl w:val="0"/>
        <w:rPr>
          <w:rFonts w:cs="仿宋"/>
          <w:b/>
          <w:bCs/>
          <w:highlight w:val="none"/>
        </w:rPr>
      </w:pPr>
      <w:bookmarkStart w:id="263" w:name="_Toc25140"/>
      <w:r>
        <w:rPr>
          <w:rFonts w:hint="eastAsia" w:cs="仿宋"/>
          <w:b/>
          <w:bCs/>
          <w:highlight w:val="none"/>
          <w:lang w:val="en-US" w:eastAsia="zh-CN"/>
        </w:rPr>
        <w:t>3、</w:t>
      </w:r>
      <w:r>
        <w:rPr>
          <w:rFonts w:hint="eastAsia" w:cs="仿宋"/>
          <w:b/>
          <w:bCs/>
          <w:highlight w:val="none"/>
          <w:lang w:val="zh-TW" w:eastAsia="zh-TW"/>
        </w:rPr>
        <w:t>法定代表人身份证明</w:t>
      </w:r>
      <w:bookmarkEnd w:id="260"/>
      <w:bookmarkEnd w:id="263"/>
    </w:p>
    <w:p w14:paraId="2CA3DA67">
      <w:pPr>
        <w:pStyle w:val="5"/>
        <w:shd w:val="clear"/>
        <w:spacing w:before="0" w:after="0" w:line="300" w:lineRule="auto"/>
        <w:jc w:val="center"/>
        <w:outlineLvl w:val="9"/>
        <w:rPr>
          <w:rFonts w:hint="eastAsia" w:ascii="Times New Roman" w:hAnsi="Times New Roman"/>
          <w:b w:val="0"/>
          <w:bCs w:val="0"/>
          <w:color w:val="000000"/>
          <w:highlight w:val="none"/>
          <w:lang w:val="zh-TW" w:eastAsia="zh-TW"/>
        </w:rPr>
      </w:pPr>
      <w:r>
        <w:rPr>
          <w:rFonts w:hint="eastAsia" w:ascii="Times New Roman" w:hAnsi="Times New Roman"/>
          <w:b w:val="0"/>
          <w:bCs w:val="0"/>
          <w:color w:val="000000"/>
          <w:highlight w:val="none"/>
          <w:lang w:val="zh-TW" w:eastAsia="zh-TW"/>
        </w:rPr>
        <w:t>法定代表人身份证明(适用于法定代表人投标时)</w:t>
      </w:r>
    </w:p>
    <w:p w14:paraId="2B59D3D6">
      <w:pPr>
        <w:shd w:val="clear"/>
        <w:tabs>
          <w:tab w:val="left" w:leader="underscore" w:pos="3773"/>
        </w:tabs>
        <w:spacing w:before="240" w:beforeLines="100" w:line="520" w:lineRule="exact"/>
        <w:rPr>
          <w:rFonts w:ascii="仿宋" w:hAnsi="仿宋" w:eastAsia="仿宋"/>
          <w:sz w:val="28"/>
          <w:szCs w:val="28"/>
          <w:highlight w:val="none"/>
        </w:rPr>
      </w:pPr>
      <w:r>
        <w:rPr>
          <w:rFonts w:hint="eastAsia"/>
          <w:highlight w:val="none"/>
        </w:rPr>
        <w:t>投标人名称：</w:t>
      </w:r>
      <w:r>
        <w:rPr>
          <w:rFonts w:ascii="仿宋" w:hAnsi="仿宋" w:eastAsia="仿宋"/>
          <w:sz w:val="28"/>
          <w:szCs w:val="28"/>
          <w:highlight w:val="none"/>
        </w:rPr>
        <w:tab/>
      </w:r>
    </w:p>
    <w:p w14:paraId="09449F9B">
      <w:pPr>
        <w:shd w:val="clear"/>
        <w:tabs>
          <w:tab w:val="left" w:leader="underscore" w:pos="2304"/>
          <w:tab w:val="left" w:leader="underscore" w:pos="3773"/>
          <w:tab w:val="left" w:leader="underscore" w:pos="5262"/>
          <w:tab w:val="left" w:leader="underscore" w:pos="6715"/>
        </w:tabs>
        <w:spacing w:line="520" w:lineRule="exact"/>
        <w:rPr>
          <w:rFonts w:ascii="仿宋" w:hAnsi="仿宋" w:eastAsia="仿宋"/>
          <w:sz w:val="28"/>
          <w:szCs w:val="28"/>
          <w:highlight w:val="none"/>
        </w:rPr>
      </w:pPr>
      <w:r>
        <w:rPr>
          <w:rFonts w:hint="eastAsia"/>
          <w:highlight w:val="none"/>
        </w:rPr>
        <w:t>姓名</w:t>
      </w:r>
      <w:r>
        <w:rPr>
          <w:rFonts w:ascii="仿宋" w:hAnsi="仿宋" w:eastAsia="仿宋"/>
          <w:sz w:val="28"/>
          <w:szCs w:val="28"/>
          <w:highlight w:val="none"/>
        </w:rPr>
        <w:t>：</w:t>
      </w:r>
      <w:r>
        <w:rPr>
          <w:rFonts w:ascii="仿宋" w:hAnsi="仿宋" w:eastAsia="仿宋"/>
          <w:sz w:val="28"/>
          <w:szCs w:val="28"/>
          <w:highlight w:val="none"/>
        </w:rPr>
        <w:tab/>
      </w:r>
      <w:r>
        <w:rPr>
          <w:rFonts w:hint="eastAsia"/>
          <w:highlight w:val="none"/>
        </w:rPr>
        <w:t>性别：</w:t>
      </w:r>
      <w:r>
        <w:rPr>
          <w:rFonts w:ascii="仿宋" w:hAnsi="仿宋" w:eastAsia="仿宋"/>
          <w:sz w:val="28"/>
          <w:szCs w:val="28"/>
          <w:highlight w:val="none"/>
        </w:rPr>
        <w:tab/>
      </w:r>
      <w:r>
        <w:rPr>
          <w:rFonts w:hint="eastAsia"/>
          <w:highlight w:val="none"/>
        </w:rPr>
        <w:t>年龄</w:t>
      </w:r>
      <w:r>
        <w:rPr>
          <w:rFonts w:ascii="仿宋" w:hAnsi="仿宋" w:eastAsia="仿宋"/>
          <w:sz w:val="28"/>
          <w:szCs w:val="28"/>
          <w:highlight w:val="none"/>
        </w:rPr>
        <w:t>：</w:t>
      </w:r>
      <w:r>
        <w:rPr>
          <w:rFonts w:ascii="仿宋" w:hAnsi="仿宋" w:eastAsia="仿宋"/>
          <w:sz w:val="28"/>
          <w:szCs w:val="28"/>
          <w:highlight w:val="none"/>
        </w:rPr>
        <w:tab/>
      </w:r>
      <w:r>
        <w:rPr>
          <w:rFonts w:hint="eastAsia"/>
          <w:highlight w:val="none"/>
        </w:rPr>
        <w:t>职务：</w:t>
      </w:r>
      <w:r>
        <w:rPr>
          <w:rFonts w:ascii="仿宋" w:hAnsi="仿宋" w:eastAsia="仿宋"/>
          <w:sz w:val="28"/>
          <w:szCs w:val="28"/>
          <w:highlight w:val="none"/>
        </w:rPr>
        <w:tab/>
      </w:r>
    </w:p>
    <w:p w14:paraId="18339A9E">
      <w:pPr>
        <w:shd w:val="clear"/>
        <w:tabs>
          <w:tab w:val="left" w:leader="underscore" w:pos="2731"/>
        </w:tabs>
        <w:spacing w:line="520" w:lineRule="exact"/>
        <w:rPr>
          <w:rFonts w:ascii="仿宋" w:hAnsi="仿宋" w:eastAsia="仿宋"/>
          <w:sz w:val="28"/>
          <w:szCs w:val="28"/>
          <w:highlight w:val="none"/>
        </w:rPr>
      </w:pPr>
      <w:r>
        <w:rPr>
          <w:rFonts w:hint="eastAsia"/>
          <w:highlight w:val="none"/>
        </w:rPr>
        <w:t>系</w:t>
      </w:r>
      <w:r>
        <w:rPr>
          <w:rFonts w:ascii="仿宋" w:hAnsi="仿宋" w:eastAsia="仿宋"/>
          <w:sz w:val="28"/>
          <w:szCs w:val="28"/>
          <w:highlight w:val="none"/>
        </w:rPr>
        <w:tab/>
      </w:r>
      <w:r>
        <w:rPr>
          <w:rFonts w:ascii="仿宋" w:hAnsi="仿宋" w:eastAsia="仿宋"/>
          <w:sz w:val="28"/>
          <w:szCs w:val="28"/>
          <w:highlight w:val="none"/>
        </w:rPr>
        <w:t>(</w:t>
      </w:r>
      <w:r>
        <w:rPr>
          <w:rFonts w:hint="eastAsia"/>
          <w:highlight w:val="none"/>
        </w:rPr>
        <w:t>投标人名称）的法定代表人（单位负责人)</w:t>
      </w:r>
    </w:p>
    <w:p w14:paraId="658D4E13">
      <w:pPr>
        <w:shd w:val="clear"/>
        <w:tabs>
          <w:tab w:val="left" w:leader="underscore" w:pos="2731"/>
        </w:tabs>
        <w:spacing w:line="520" w:lineRule="exact"/>
        <w:rPr>
          <w:rFonts w:hint="eastAsia"/>
          <w:highlight w:val="none"/>
        </w:rPr>
      </w:pPr>
      <w:r>
        <w:rPr>
          <w:rFonts w:hint="eastAsia"/>
          <w:highlight w:val="none"/>
        </w:rPr>
        <w:t>特此证明。</w:t>
      </w:r>
    </w:p>
    <w:p w14:paraId="3DE84E42">
      <w:pPr>
        <w:shd w:val="clear"/>
        <w:tabs>
          <w:tab w:val="left" w:leader="underscore" w:pos="2731"/>
        </w:tabs>
        <w:spacing w:line="520" w:lineRule="exact"/>
        <w:rPr>
          <w:rFonts w:hint="eastAsia"/>
          <w:highlight w:val="none"/>
        </w:rPr>
      </w:pPr>
      <w:r>
        <w:rPr>
          <w:rFonts w:hint="eastAsia"/>
          <w:highlight w:val="none"/>
        </w:rPr>
        <w:t>附：法定代表人（单位负责人）身份证复印件。</w:t>
      </w:r>
    </w:p>
    <w:p w14:paraId="2C834DEC">
      <w:pPr>
        <w:shd w:val="clear"/>
        <w:tabs>
          <w:tab w:val="left" w:leader="underscore" w:pos="2731"/>
        </w:tabs>
        <w:spacing w:line="520" w:lineRule="exact"/>
        <w:rPr>
          <w:rFonts w:hint="eastAsia"/>
          <w:highlight w:val="none"/>
        </w:rPr>
      </w:pPr>
      <w:r>
        <w:rPr>
          <w:rFonts w:hint="eastAsia"/>
          <w:highlight w:val="none"/>
        </w:rPr>
        <w:t>注：本身份证明需由投标人加盖单位公章。</w:t>
      </w:r>
    </w:p>
    <w:p w14:paraId="7F23ED0E">
      <w:pPr>
        <w:shd w:val="clear"/>
        <w:spacing w:after="1057" w:line="520" w:lineRule="exact"/>
        <w:rPr>
          <w:rFonts w:ascii="仿宋" w:hAnsi="仿宋" w:eastAsia="仿宋"/>
          <w:sz w:val="28"/>
          <w:szCs w:val="28"/>
          <w:highlight w:val="none"/>
        </w:rPr>
      </w:pPr>
    </w:p>
    <w:p w14:paraId="61F761BC">
      <w:pPr>
        <w:shd w:val="clear"/>
        <w:tabs>
          <w:tab w:val="left" w:leader="underscore" w:pos="6434"/>
        </w:tabs>
        <w:spacing w:after="642" w:line="520" w:lineRule="exact"/>
        <w:ind w:left="4140"/>
        <w:rPr>
          <w:rFonts w:hint="eastAsia"/>
          <w:highlight w:val="none"/>
        </w:rPr>
      </w:pPr>
      <w:r>
        <w:rPr>
          <w:rFonts w:hint="eastAsia"/>
          <w:color w:val="000000"/>
          <w:spacing w:val="-10"/>
          <w:highlight w:val="none"/>
          <w:lang w:val="zh-TW" w:eastAsia="zh-TW" w:bidi="zh-TW"/>
        </w:rPr>
        <w:t>投标人：</w:t>
      </w:r>
      <w:r>
        <w:rPr>
          <w:rFonts w:hint="eastAsia"/>
          <w:highlight w:val="none"/>
        </w:rPr>
        <w:tab/>
      </w:r>
      <w:r>
        <w:rPr>
          <w:rFonts w:hint="eastAsia"/>
          <w:highlight w:val="none"/>
        </w:rPr>
        <w:t>(单位公章)</w:t>
      </w:r>
    </w:p>
    <w:p w14:paraId="1330FB3A">
      <w:pPr>
        <w:shd w:val="clear"/>
        <w:tabs>
          <w:tab w:val="left" w:leader="underscore" w:pos="5262"/>
          <w:tab w:val="left" w:leader="underscore" w:pos="5980"/>
          <w:tab w:val="left" w:leader="underscore" w:pos="6958"/>
        </w:tabs>
        <w:spacing w:line="520" w:lineRule="exact"/>
        <w:ind w:left="4640"/>
        <w:rPr>
          <w:rFonts w:hint="eastAsia"/>
          <w:highlight w:val="none"/>
        </w:rPr>
      </w:pPr>
      <w:r>
        <w:rPr>
          <w:rFonts w:hint="eastAsia"/>
          <w:highlight w:val="none"/>
        </w:rPr>
        <w:t>年月日</w:t>
      </w:r>
    </w:p>
    <w:p w14:paraId="6FF23DF9">
      <w:pPr>
        <w:shd w:val="clear"/>
        <w:spacing w:line="360" w:lineRule="auto"/>
        <w:ind w:firstLine="400" w:firstLineChars="200"/>
        <w:rPr>
          <w:rFonts w:ascii="Times New Roman" w:hAnsi="Times New Roman" w:eastAsia="黑体"/>
          <w:color w:val="000000"/>
          <w:sz w:val="20"/>
          <w:highlight w:val="none"/>
        </w:rPr>
      </w:pPr>
    </w:p>
    <w:p w14:paraId="27B6BD3E">
      <w:pPr>
        <w:pStyle w:val="2"/>
        <w:shd w:val="clear"/>
        <w:ind w:left="480" w:firstLine="400"/>
        <w:rPr>
          <w:rFonts w:eastAsia="黑体"/>
          <w:color w:val="000000"/>
          <w:sz w:val="20"/>
          <w:highlight w:val="none"/>
        </w:rPr>
      </w:pPr>
    </w:p>
    <w:p w14:paraId="0BB2930B">
      <w:pPr>
        <w:pStyle w:val="2"/>
        <w:shd w:val="clear"/>
        <w:ind w:left="480" w:firstLine="400"/>
        <w:rPr>
          <w:rFonts w:eastAsia="黑体"/>
          <w:color w:val="000000"/>
          <w:sz w:val="20"/>
          <w:highlight w:val="none"/>
        </w:rPr>
      </w:pPr>
    </w:p>
    <w:p w14:paraId="4C8A6FC8">
      <w:pPr>
        <w:pStyle w:val="2"/>
        <w:shd w:val="clear"/>
        <w:ind w:left="480" w:firstLine="400"/>
        <w:rPr>
          <w:rFonts w:eastAsia="黑体"/>
          <w:color w:val="000000"/>
          <w:sz w:val="20"/>
          <w:highlight w:val="none"/>
        </w:rPr>
      </w:pPr>
    </w:p>
    <w:p w14:paraId="4F050150">
      <w:pPr>
        <w:pStyle w:val="2"/>
        <w:shd w:val="clear"/>
        <w:ind w:left="480" w:firstLine="400"/>
        <w:rPr>
          <w:rFonts w:eastAsia="黑体"/>
          <w:color w:val="000000"/>
          <w:sz w:val="20"/>
          <w:highlight w:val="none"/>
        </w:rPr>
      </w:pPr>
    </w:p>
    <w:p w14:paraId="33B5D99F">
      <w:pPr>
        <w:pStyle w:val="2"/>
        <w:shd w:val="clear"/>
        <w:ind w:left="480" w:firstLine="400"/>
        <w:rPr>
          <w:rFonts w:eastAsia="黑体"/>
          <w:color w:val="000000"/>
          <w:sz w:val="20"/>
          <w:highlight w:val="none"/>
        </w:rPr>
      </w:pPr>
    </w:p>
    <w:p w14:paraId="6E951FDA">
      <w:pPr>
        <w:pStyle w:val="2"/>
        <w:shd w:val="clear"/>
        <w:ind w:left="480" w:firstLine="400"/>
        <w:rPr>
          <w:rFonts w:eastAsia="黑体"/>
          <w:color w:val="000000"/>
          <w:sz w:val="20"/>
          <w:highlight w:val="none"/>
        </w:rPr>
      </w:pPr>
    </w:p>
    <w:p w14:paraId="7A572A3A">
      <w:pPr>
        <w:pStyle w:val="2"/>
        <w:shd w:val="clear"/>
        <w:ind w:left="480" w:firstLine="400"/>
        <w:rPr>
          <w:rFonts w:eastAsia="黑体"/>
          <w:color w:val="000000"/>
          <w:sz w:val="20"/>
          <w:highlight w:val="none"/>
        </w:rPr>
      </w:pPr>
    </w:p>
    <w:p w14:paraId="3D6B8BA4">
      <w:pPr>
        <w:pStyle w:val="2"/>
        <w:shd w:val="clear"/>
        <w:ind w:left="480" w:firstLine="400"/>
        <w:rPr>
          <w:rFonts w:eastAsia="黑体"/>
          <w:color w:val="000000"/>
          <w:sz w:val="20"/>
          <w:highlight w:val="none"/>
        </w:rPr>
      </w:pPr>
    </w:p>
    <w:p w14:paraId="75AA2924">
      <w:pPr>
        <w:pStyle w:val="2"/>
        <w:shd w:val="clear"/>
        <w:ind w:left="480" w:firstLine="400"/>
        <w:rPr>
          <w:rFonts w:eastAsia="黑体"/>
          <w:color w:val="000000"/>
          <w:sz w:val="20"/>
          <w:highlight w:val="none"/>
        </w:rPr>
      </w:pPr>
    </w:p>
    <w:p w14:paraId="00935F87">
      <w:pPr>
        <w:pStyle w:val="2"/>
        <w:shd w:val="clear"/>
        <w:ind w:left="480" w:firstLine="400"/>
        <w:rPr>
          <w:rFonts w:eastAsia="黑体"/>
          <w:color w:val="000000"/>
          <w:sz w:val="20"/>
          <w:highlight w:val="none"/>
        </w:rPr>
      </w:pPr>
    </w:p>
    <w:p w14:paraId="691C6DCE">
      <w:pPr>
        <w:pStyle w:val="2"/>
        <w:shd w:val="clear"/>
        <w:ind w:left="480" w:firstLine="400"/>
        <w:rPr>
          <w:rFonts w:eastAsia="黑体"/>
          <w:color w:val="000000"/>
          <w:sz w:val="20"/>
          <w:highlight w:val="none"/>
        </w:rPr>
      </w:pPr>
    </w:p>
    <w:p w14:paraId="1D1E1C3C">
      <w:pPr>
        <w:pStyle w:val="2"/>
        <w:shd w:val="clear"/>
        <w:ind w:left="480" w:firstLine="400"/>
        <w:rPr>
          <w:rFonts w:eastAsia="黑体"/>
          <w:color w:val="000000"/>
          <w:sz w:val="20"/>
          <w:highlight w:val="none"/>
        </w:rPr>
      </w:pPr>
    </w:p>
    <w:p w14:paraId="50494F00">
      <w:pPr>
        <w:pStyle w:val="2"/>
        <w:shd w:val="clear"/>
        <w:ind w:left="480" w:firstLine="400"/>
        <w:rPr>
          <w:rFonts w:eastAsia="黑体"/>
          <w:color w:val="000000"/>
          <w:sz w:val="20"/>
          <w:highlight w:val="none"/>
        </w:rPr>
      </w:pPr>
    </w:p>
    <w:p w14:paraId="66C7DA0C">
      <w:pPr>
        <w:pStyle w:val="2"/>
        <w:shd w:val="clear"/>
        <w:ind w:left="480" w:firstLine="400"/>
        <w:rPr>
          <w:rFonts w:eastAsia="黑体"/>
          <w:color w:val="000000"/>
          <w:sz w:val="20"/>
          <w:highlight w:val="none"/>
        </w:rPr>
      </w:pPr>
    </w:p>
    <w:p w14:paraId="596511E6">
      <w:pPr>
        <w:pStyle w:val="2"/>
        <w:shd w:val="clear"/>
        <w:ind w:left="480" w:firstLine="400"/>
        <w:rPr>
          <w:rFonts w:eastAsia="黑体"/>
          <w:color w:val="000000"/>
          <w:sz w:val="20"/>
          <w:highlight w:val="none"/>
        </w:rPr>
      </w:pPr>
    </w:p>
    <w:p w14:paraId="5EA3470C">
      <w:pPr>
        <w:pStyle w:val="2"/>
        <w:shd w:val="clear"/>
        <w:ind w:left="480" w:firstLine="400"/>
        <w:rPr>
          <w:rFonts w:eastAsia="黑体"/>
          <w:color w:val="000000"/>
          <w:sz w:val="20"/>
          <w:highlight w:val="none"/>
        </w:rPr>
      </w:pPr>
    </w:p>
    <w:p w14:paraId="365F7C77">
      <w:pPr>
        <w:shd w:val="clear"/>
        <w:spacing w:line="360" w:lineRule="auto"/>
        <w:ind w:firstLine="480" w:firstLineChars="200"/>
        <w:rPr>
          <w:rFonts w:hint="eastAsia" w:cs="仿宋"/>
          <w:highlight w:val="none"/>
        </w:rPr>
      </w:pPr>
      <w:bookmarkStart w:id="264" w:name="_Toc25293_WPSOffice_Level1"/>
    </w:p>
    <w:p w14:paraId="01E552F8">
      <w:pPr>
        <w:shd w:val="clear"/>
        <w:spacing w:line="360" w:lineRule="auto"/>
        <w:ind w:firstLine="482" w:firstLineChars="200"/>
        <w:outlineLvl w:val="0"/>
        <w:rPr>
          <w:rFonts w:cs="仿宋"/>
          <w:b/>
          <w:bCs/>
          <w:highlight w:val="none"/>
        </w:rPr>
      </w:pPr>
      <w:bookmarkStart w:id="265" w:name="_Toc25631"/>
      <w:r>
        <w:rPr>
          <w:rFonts w:hint="eastAsia" w:cs="仿宋"/>
          <w:b/>
          <w:bCs/>
          <w:highlight w:val="none"/>
          <w:lang w:val="en-US" w:eastAsia="zh-CN"/>
        </w:rPr>
        <w:t>4</w:t>
      </w:r>
      <w:r>
        <w:rPr>
          <w:rFonts w:hint="eastAsia" w:cs="仿宋"/>
          <w:b/>
          <w:bCs/>
          <w:highlight w:val="none"/>
        </w:rPr>
        <w:t>、授权委托书</w:t>
      </w:r>
      <w:bookmarkEnd w:id="264"/>
      <w:bookmarkEnd w:id="265"/>
    </w:p>
    <w:p w14:paraId="72BB81F7">
      <w:pPr>
        <w:pStyle w:val="5"/>
        <w:shd w:val="clear"/>
        <w:spacing w:before="0" w:after="0" w:line="300" w:lineRule="auto"/>
        <w:jc w:val="center"/>
        <w:outlineLvl w:val="9"/>
        <w:rPr>
          <w:rFonts w:ascii="Times New Roman" w:hAnsi="Times New Roman"/>
          <w:b w:val="0"/>
          <w:bCs w:val="0"/>
          <w:color w:val="000000"/>
          <w:highlight w:val="none"/>
        </w:rPr>
      </w:pPr>
      <w:r>
        <w:rPr>
          <w:rFonts w:hint="eastAsia" w:ascii="Times New Roman" w:hAnsi="Times New Roman"/>
          <w:b w:val="0"/>
          <w:bCs w:val="0"/>
          <w:color w:val="000000"/>
          <w:highlight w:val="none"/>
        </w:rPr>
        <w:t>授权委托书</w:t>
      </w:r>
      <w:r>
        <w:rPr>
          <w:rFonts w:hint="eastAsia" w:ascii="仿宋" w:hAnsi="仿宋" w:eastAsia="仿宋" w:cs="MingLiU"/>
          <w:color w:val="000000"/>
          <w:sz w:val="30"/>
          <w:szCs w:val="30"/>
          <w:highlight w:val="none"/>
          <w:shd w:val="clear" w:color="auto" w:fill="FFFFFF"/>
          <w:lang w:val="zh-TW" w:eastAsia="zh-TW" w:bidi="zh-TW"/>
        </w:rPr>
        <w:t>(适用于委托代理人投标时)</w:t>
      </w:r>
    </w:p>
    <w:p w14:paraId="4C94FD9A">
      <w:pPr>
        <w:shd w:val="clear"/>
        <w:spacing w:line="300" w:lineRule="auto"/>
        <w:rPr>
          <w:rFonts w:ascii="Times New Roman" w:hAnsi="Times New Roman" w:eastAsia="黑体"/>
          <w:color w:val="000000"/>
          <w:szCs w:val="21"/>
          <w:highlight w:val="none"/>
        </w:rPr>
      </w:pPr>
    </w:p>
    <w:p w14:paraId="6AA4DD32">
      <w:pPr>
        <w:shd w:val="clear"/>
        <w:topLinePunct/>
        <w:spacing w:line="300" w:lineRule="auto"/>
        <w:ind w:firstLine="480" w:firstLineChars="200"/>
        <w:rPr>
          <w:rFonts w:ascii="Times New Roman" w:hAnsi="Times New Roman"/>
          <w:color w:val="000000"/>
          <w:szCs w:val="21"/>
          <w:highlight w:val="none"/>
        </w:rPr>
      </w:pPr>
      <w:r>
        <w:rPr>
          <w:rFonts w:hint="eastAsia" w:ascii="Times New Roman" w:hAnsi="Times New Roman"/>
          <w:color w:val="000000"/>
          <w:szCs w:val="21"/>
          <w:highlight w:val="none"/>
        </w:rPr>
        <w:t>本人</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（姓名）系</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（名称）的法定代表人，现委托</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（姓名）为我方代理人。代理人根据授权，以我方名义签署、澄清、说明、补正、递交、撤回、修改</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（项目名称）投标文件、签订合同和处理有关事宜，其法律后果由我方承担。</w:t>
      </w:r>
    </w:p>
    <w:p w14:paraId="7E8A3C9C">
      <w:pPr>
        <w:shd w:val="clear"/>
        <w:spacing w:line="300" w:lineRule="auto"/>
        <w:rPr>
          <w:rFonts w:ascii="Times New Roman" w:hAnsi="Times New Roman"/>
          <w:color w:val="000000"/>
          <w:szCs w:val="21"/>
          <w:highlight w:val="none"/>
        </w:rPr>
      </w:pPr>
      <w:r>
        <w:rPr>
          <w:rFonts w:ascii="Times New Roman" w:hAnsi="Times New Roman"/>
          <w:color w:val="000000"/>
          <w:szCs w:val="21"/>
          <w:highlight w:val="none"/>
        </w:rPr>
        <w:t xml:space="preserve">    </w:t>
      </w:r>
      <w:r>
        <w:rPr>
          <w:rFonts w:hint="eastAsia" w:ascii="Times New Roman" w:hAnsi="Times New Roman"/>
          <w:color w:val="000000"/>
          <w:szCs w:val="21"/>
          <w:highlight w:val="none"/>
        </w:rPr>
        <w:t>委托期限：</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w:t>
      </w:r>
    </w:p>
    <w:p w14:paraId="446078DA">
      <w:pPr>
        <w:shd w:val="clear"/>
        <w:spacing w:line="300" w:lineRule="auto"/>
        <w:ind w:firstLine="480" w:firstLineChars="200"/>
        <w:rPr>
          <w:rFonts w:ascii="Times New Roman" w:hAnsi="Times New Roman"/>
          <w:color w:val="000000"/>
          <w:szCs w:val="21"/>
          <w:highlight w:val="none"/>
        </w:rPr>
      </w:pPr>
      <w:r>
        <w:rPr>
          <w:rFonts w:hint="eastAsia" w:ascii="Times New Roman" w:hAnsi="Times New Roman"/>
          <w:color w:val="000000"/>
          <w:szCs w:val="21"/>
          <w:highlight w:val="none"/>
        </w:rPr>
        <w:t>代理人无转委托权。</w:t>
      </w:r>
    </w:p>
    <w:p w14:paraId="19DD4985">
      <w:pPr>
        <w:shd w:val="clear"/>
        <w:topLinePunct/>
        <w:spacing w:line="360" w:lineRule="auto"/>
        <w:ind w:firstLine="480" w:firstLineChars="200"/>
        <w:rPr>
          <w:rFonts w:cs="仿宋"/>
          <w:highlight w:val="none"/>
        </w:rPr>
      </w:pPr>
      <w:r>
        <w:rPr>
          <w:rFonts w:hint="eastAsia" w:cs="仿宋"/>
          <w:highlight w:val="none"/>
        </w:rPr>
        <w:t>附：（1）法定代表人身份证复印件。</w:t>
      </w:r>
    </w:p>
    <w:p w14:paraId="2D5B932A">
      <w:pPr>
        <w:shd w:val="clear"/>
        <w:topLinePunct/>
        <w:spacing w:line="360" w:lineRule="auto"/>
        <w:ind w:firstLine="960" w:firstLineChars="400"/>
        <w:rPr>
          <w:rFonts w:hint="eastAsia" w:cs="仿宋"/>
          <w:highlight w:val="none"/>
        </w:rPr>
      </w:pPr>
      <w:r>
        <w:rPr>
          <w:rFonts w:hint="eastAsia" w:cs="仿宋"/>
          <w:highlight w:val="none"/>
        </w:rPr>
        <w:t>（2）委托代理人身份证复印件。</w:t>
      </w:r>
    </w:p>
    <w:p w14:paraId="46B86192">
      <w:pPr>
        <w:shd w:val="clear"/>
        <w:topLinePunct/>
        <w:spacing w:line="360" w:lineRule="auto"/>
        <w:ind w:firstLine="960" w:firstLineChars="400"/>
        <w:rPr>
          <w:rFonts w:hint="eastAsia" w:cs="仿宋"/>
          <w:highlight w:val="none"/>
        </w:rPr>
      </w:pPr>
      <w:r>
        <w:rPr>
          <w:rFonts w:hint="eastAsia" w:cs="仿宋"/>
          <w:highlight w:val="none"/>
        </w:rPr>
        <w:t>（3）委托代理人社保证明。</w:t>
      </w:r>
    </w:p>
    <w:p w14:paraId="20744F5F">
      <w:pPr>
        <w:shd w:val="clear"/>
        <w:spacing w:line="300" w:lineRule="auto"/>
        <w:rPr>
          <w:rFonts w:ascii="Times New Roman" w:hAnsi="Times New Roman"/>
          <w:color w:val="000000"/>
          <w:szCs w:val="21"/>
          <w:highlight w:val="none"/>
        </w:rPr>
      </w:pPr>
    </w:p>
    <w:p w14:paraId="66326EF7">
      <w:pPr>
        <w:shd w:val="clear"/>
        <w:spacing w:line="300" w:lineRule="auto"/>
        <w:rPr>
          <w:rFonts w:ascii="Times New Roman" w:hAnsi="Times New Roman"/>
          <w:color w:val="000000"/>
          <w:szCs w:val="21"/>
          <w:highlight w:val="none"/>
        </w:rPr>
      </w:pPr>
    </w:p>
    <w:p w14:paraId="711B7FFC">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投标人：</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（盖单位章）</w:t>
      </w:r>
    </w:p>
    <w:p w14:paraId="62EE4AFB">
      <w:pPr>
        <w:shd w:val="clear"/>
        <w:spacing w:line="300" w:lineRule="auto"/>
        <w:rPr>
          <w:rFonts w:ascii="Times New Roman" w:hAnsi="Times New Roman"/>
          <w:color w:val="000000"/>
          <w:szCs w:val="21"/>
          <w:highlight w:val="none"/>
        </w:rPr>
      </w:pPr>
    </w:p>
    <w:p w14:paraId="464B27F8">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法定代表人：</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（签字并盖章）</w:t>
      </w:r>
    </w:p>
    <w:p w14:paraId="1CBF8A53">
      <w:pPr>
        <w:shd w:val="clear"/>
        <w:spacing w:line="300" w:lineRule="auto"/>
        <w:rPr>
          <w:rFonts w:ascii="Times New Roman" w:hAnsi="Times New Roman"/>
          <w:color w:val="000000"/>
          <w:szCs w:val="21"/>
          <w:highlight w:val="none"/>
        </w:rPr>
      </w:pPr>
    </w:p>
    <w:p w14:paraId="12DC5432">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身份证号码：</w:t>
      </w:r>
      <w:r>
        <w:rPr>
          <w:rFonts w:ascii="Times New Roman" w:hAnsi="Times New Roman"/>
          <w:color w:val="000000"/>
          <w:szCs w:val="21"/>
          <w:highlight w:val="none"/>
          <w:u w:val="single"/>
        </w:rPr>
        <w:t xml:space="preserve">                                     </w:t>
      </w:r>
    </w:p>
    <w:p w14:paraId="16792CDC">
      <w:pPr>
        <w:shd w:val="clear"/>
        <w:spacing w:line="300" w:lineRule="auto"/>
        <w:rPr>
          <w:rFonts w:ascii="Times New Roman" w:hAnsi="Times New Roman"/>
          <w:color w:val="000000"/>
          <w:szCs w:val="21"/>
          <w:highlight w:val="none"/>
        </w:rPr>
      </w:pPr>
    </w:p>
    <w:p w14:paraId="0F99C8A0">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委托代理人：</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（签字）</w:t>
      </w:r>
      <w:r>
        <w:rPr>
          <w:rFonts w:ascii="Times New Roman" w:hAnsi="Times New Roman"/>
          <w:color w:val="000000"/>
          <w:szCs w:val="21"/>
          <w:highlight w:val="none"/>
        </w:rPr>
        <w:t xml:space="preserve"> </w:t>
      </w:r>
    </w:p>
    <w:p w14:paraId="105AACE3">
      <w:pPr>
        <w:shd w:val="clear"/>
        <w:spacing w:line="300" w:lineRule="auto"/>
        <w:rPr>
          <w:rFonts w:ascii="Times New Roman" w:hAnsi="Times New Roman"/>
          <w:color w:val="000000"/>
          <w:szCs w:val="21"/>
          <w:highlight w:val="none"/>
        </w:rPr>
      </w:pPr>
    </w:p>
    <w:p w14:paraId="08D634EB">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身份证号码：</w:t>
      </w:r>
      <w:r>
        <w:rPr>
          <w:rFonts w:ascii="Times New Roman" w:hAnsi="Times New Roman"/>
          <w:color w:val="000000"/>
          <w:szCs w:val="21"/>
          <w:highlight w:val="none"/>
          <w:u w:val="single"/>
        </w:rPr>
        <w:t xml:space="preserve">                                      </w:t>
      </w:r>
    </w:p>
    <w:p w14:paraId="1ED41647">
      <w:pPr>
        <w:shd w:val="clear"/>
        <w:spacing w:line="300" w:lineRule="auto"/>
        <w:rPr>
          <w:rFonts w:ascii="Times New Roman" w:hAnsi="Times New Roman"/>
          <w:color w:val="000000"/>
          <w:szCs w:val="21"/>
          <w:highlight w:val="none"/>
        </w:rPr>
      </w:pPr>
    </w:p>
    <w:p w14:paraId="67B1F8B2">
      <w:pPr>
        <w:shd w:val="clear"/>
        <w:spacing w:line="300" w:lineRule="auto"/>
        <w:rPr>
          <w:rFonts w:ascii="Times New Roman" w:hAnsi="Times New Roman"/>
          <w:color w:val="000000"/>
          <w:szCs w:val="21"/>
          <w:highlight w:val="none"/>
        </w:rPr>
      </w:pPr>
    </w:p>
    <w:p w14:paraId="5964E2A8">
      <w:pPr>
        <w:shd w:val="clear"/>
        <w:spacing w:line="300" w:lineRule="auto"/>
        <w:ind w:firstLine="2640" w:firstLineChars="1100"/>
        <w:rPr>
          <w:rFonts w:ascii="Times New Roman" w:hAnsi="Times New Roman" w:eastAsia="黑体"/>
          <w:color w:val="000000"/>
          <w:szCs w:val="21"/>
          <w:highlight w:val="none"/>
        </w:rPr>
      </w:pP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年</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月</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日</w:t>
      </w:r>
    </w:p>
    <w:p w14:paraId="15A351A1">
      <w:pPr>
        <w:shd w:val="clear"/>
        <w:spacing w:line="300" w:lineRule="auto"/>
        <w:ind w:left="480" w:hanging="482" w:hangingChars="200"/>
        <w:rPr>
          <w:rFonts w:ascii="Times New Roman" w:hAnsi="Times New Roman" w:eastAsia="楷体_GB2312"/>
          <w:b/>
          <w:color w:val="000000"/>
          <w:highlight w:val="none"/>
          <w:lang w:val="zh-CN"/>
        </w:rPr>
      </w:pPr>
    </w:p>
    <w:p w14:paraId="3D58896B">
      <w:pPr>
        <w:shd w:val="clear"/>
        <w:spacing w:line="300" w:lineRule="auto"/>
        <w:rPr>
          <w:rFonts w:ascii="Times New Roman" w:hAnsi="Times New Roman" w:eastAsia="黑体"/>
          <w:color w:val="000000"/>
          <w:sz w:val="20"/>
          <w:highlight w:val="none"/>
        </w:rPr>
      </w:pPr>
    </w:p>
    <w:p w14:paraId="2340ADCA">
      <w:pPr>
        <w:keepNext/>
        <w:keepLines/>
        <w:widowControl w:val="0"/>
        <w:shd w:val="clear"/>
        <w:spacing w:before="0" w:after="0" w:line="300" w:lineRule="auto"/>
        <w:jc w:val="center"/>
        <w:outlineLvl w:val="9"/>
        <w:rPr>
          <w:rFonts w:hint="eastAsia" w:ascii="Times New Roman" w:hAnsi="Times New Roman" w:eastAsia="黑体" w:cs="Times New Roman"/>
          <w:b/>
          <w:bCs/>
          <w:color w:val="000000"/>
          <w:sz w:val="32"/>
          <w:szCs w:val="32"/>
          <w:highlight w:val="none"/>
          <w:lang w:val="en-US" w:eastAsia="zh-CN" w:bidi="ar-SA"/>
        </w:rPr>
      </w:pPr>
    </w:p>
    <w:p w14:paraId="019BB116">
      <w:pPr>
        <w:keepNext/>
        <w:keepLines/>
        <w:widowControl w:val="0"/>
        <w:shd w:val="clear"/>
        <w:spacing w:before="0" w:after="0" w:line="300" w:lineRule="auto"/>
        <w:jc w:val="center"/>
        <w:outlineLvl w:val="9"/>
        <w:rPr>
          <w:rFonts w:hint="eastAsia" w:ascii="Times New Roman" w:hAnsi="Times New Roman" w:eastAsia="黑体" w:cs="Times New Roman"/>
          <w:b/>
          <w:bCs/>
          <w:color w:val="000000"/>
          <w:sz w:val="32"/>
          <w:szCs w:val="32"/>
          <w:highlight w:val="none"/>
          <w:lang w:val="en-US" w:eastAsia="zh-CN" w:bidi="ar-SA"/>
        </w:rPr>
      </w:pPr>
    </w:p>
    <w:p w14:paraId="55DD06DB">
      <w:pPr>
        <w:keepNext/>
        <w:keepLines/>
        <w:widowControl w:val="0"/>
        <w:shd w:val="clear"/>
        <w:spacing w:before="0" w:after="0" w:line="300" w:lineRule="auto"/>
        <w:jc w:val="center"/>
        <w:outlineLvl w:val="9"/>
        <w:rPr>
          <w:rFonts w:hint="eastAsia" w:ascii="Times New Roman" w:hAnsi="Times New Roman" w:eastAsia="黑体" w:cs="Times New Roman"/>
          <w:b/>
          <w:bCs/>
          <w:color w:val="000000"/>
          <w:sz w:val="32"/>
          <w:szCs w:val="32"/>
          <w:highlight w:val="none"/>
          <w:lang w:val="en-US" w:eastAsia="zh-CN" w:bidi="ar-SA"/>
        </w:rPr>
      </w:pPr>
    </w:p>
    <w:p w14:paraId="560A6258">
      <w:pPr>
        <w:rPr>
          <w:rFonts w:hint="eastAsia" w:cs="仿宋"/>
          <w:b/>
          <w:bCs/>
          <w:highlight w:val="none"/>
          <w:lang w:val="en-US" w:eastAsia="zh-CN"/>
        </w:rPr>
      </w:pPr>
      <w:bookmarkStart w:id="266" w:name="_Toc22089_WPSOffice_Level1"/>
      <w:r>
        <w:rPr>
          <w:rFonts w:hint="eastAsia" w:cs="仿宋"/>
          <w:b/>
          <w:bCs/>
          <w:highlight w:val="none"/>
          <w:lang w:val="en-US" w:eastAsia="zh-CN"/>
        </w:rPr>
        <w:br w:type="page"/>
      </w:r>
    </w:p>
    <w:p w14:paraId="6685C18A">
      <w:pPr>
        <w:shd w:val="clear"/>
        <w:spacing w:line="360" w:lineRule="auto"/>
        <w:ind w:firstLine="482" w:firstLineChars="200"/>
        <w:outlineLvl w:val="0"/>
        <w:rPr>
          <w:rFonts w:hint="eastAsia" w:cs="仿宋"/>
          <w:b/>
          <w:bCs/>
          <w:highlight w:val="none"/>
          <w:lang w:val="en-US" w:eastAsia="zh-CN"/>
        </w:rPr>
      </w:pPr>
      <w:bookmarkStart w:id="267" w:name="_Toc18893"/>
      <w:r>
        <w:rPr>
          <w:rFonts w:hint="eastAsia" w:cs="仿宋"/>
          <w:b/>
          <w:bCs/>
          <w:highlight w:val="none"/>
          <w:lang w:val="en-US" w:eastAsia="zh-CN"/>
        </w:rPr>
        <w:t>5、投标保证金</w:t>
      </w:r>
      <w:bookmarkEnd w:id="266"/>
      <w:bookmarkEnd w:id="267"/>
    </w:p>
    <w:p w14:paraId="277F6B57">
      <w:pPr>
        <w:shd w:val="clear"/>
        <w:spacing w:line="560" w:lineRule="exact"/>
        <w:ind w:firstLine="480" w:firstLineChars="200"/>
        <w:rPr>
          <w:rFonts w:hint="eastAsia"/>
          <w:highlight w:val="none"/>
        </w:rPr>
      </w:pPr>
      <w:r>
        <w:rPr>
          <w:rFonts w:hint="eastAsia"/>
          <w:highlight w:val="none"/>
        </w:rPr>
        <w:t>若采用现金或支票，投标人应在此提供交款回单的复印件。</w:t>
      </w:r>
    </w:p>
    <w:p w14:paraId="5AD6AD2F">
      <w:pPr>
        <w:shd w:val="clear"/>
        <w:spacing w:line="360" w:lineRule="auto"/>
        <w:ind w:firstLine="482" w:firstLineChars="200"/>
        <w:rPr>
          <w:rFonts w:hint="eastAsia" w:cs="仿宋"/>
          <w:b/>
          <w:bCs/>
          <w:highlight w:val="none"/>
          <w:lang w:val="en-US" w:eastAsia="zh-CN"/>
        </w:rPr>
      </w:pPr>
      <w:bookmarkStart w:id="268" w:name="_Toc506105877"/>
      <w:bookmarkStart w:id="269" w:name="_Toc20492_WPSOffice_Level1"/>
      <w:bookmarkStart w:id="270" w:name="_Toc352160852"/>
      <w:bookmarkStart w:id="271" w:name="_Toc391556617"/>
      <w:bookmarkStart w:id="272" w:name="_Toc508871757"/>
    </w:p>
    <w:p w14:paraId="579B5EE6">
      <w:pPr>
        <w:shd w:val="clear"/>
        <w:spacing w:line="360" w:lineRule="auto"/>
        <w:ind w:firstLine="482" w:firstLineChars="200"/>
        <w:outlineLvl w:val="0"/>
        <w:rPr>
          <w:rFonts w:hint="eastAsia" w:cs="仿宋"/>
          <w:b/>
          <w:bCs/>
          <w:highlight w:val="none"/>
          <w:lang w:val="en-US" w:eastAsia="zh-CN"/>
        </w:rPr>
      </w:pPr>
      <w:bookmarkStart w:id="273" w:name="_Toc9062"/>
      <w:r>
        <w:rPr>
          <w:rFonts w:hint="eastAsia" w:cs="仿宋"/>
          <w:b/>
          <w:bCs/>
          <w:highlight w:val="none"/>
          <w:lang w:val="en-US" w:eastAsia="zh-CN"/>
        </w:rPr>
        <w:t>6、资格审查资料</w:t>
      </w:r>
      <w:bookmarkEnd w:id="268"/>
      <w:bookmarkEnd w:id="269"/>
      <w:bookmarkEnd w:id="270"/>
      <w:bookmarkEnd w:id="271"/>
      <w:bookmarkEnd w:id="272"/>
      <w:bookmarkEnd w:id="273"/>
    </w:p>
    <w:p w14:paraId="29E6EDE4">
      <w:pPr>
        <w:shd w:val="clear"/>
        <w:spacing w:line="360" w:lineRule="auto"/>
        <w:outlineLvl w:val="1"/>
        <w:rPr>
          <w:rFonts w:cs="仿宋"/>
          <w:bCs/>
          <w:highlight w:val="none"/>
        </w:rPr>
      </w:pPr>
      <w:bookmarkStart w:id="274" w:name="_Toc337496474"/>
      <w:bookmarkStart w:id="275" w:name="_Toc20445"/>
      <w:r>
        <w:rPr>
          <w:rFonts w:hint="eastAsia" w:cs="仿宋"/>
          <w:bCs/>
          <w:highlight w:val="none"/>
          <w:lang w:val="en-US" w:eastAsia="zh-CN"/>
        </w:rPr>
        <w:t>6</w:t>
      </w:r>
      <w:r>
        <w:rPr>
          <w:rFonts w:hint="eastAsia" w:cs="仿宋"/>
          <w:bCs/>
          <w:highlight w:val="none"/>
        </w:rPr>
        <w:t>.1</w:t>
      </w:r>
      <w:bookmarkEnd w:id="274"/>
      <w:r>
        <w:rPr>
          <w:rFonts w:hint="eastAsia" w:cs="仿宋"/>
          <w:bCs/>
          <w:highlight w:val="none"/>
        </w:rPr>
        <w:t>投标人基本情况及证书复印件</w:t>
      </w:r>
      <w:bookmarkEnd w:id="275"/>
    </w:p>
    <w:p w14:paraId="5C9FDCAC">
      <w:pPr>
        <w:shd w:val="clear"/>
        <w:spacing w:line="360" w:lineRule="auto"/>
        <w:jc w:val="center"/>
        <w:rPr>
          <w:rFonts w:cs="仿宋"/>
          <w:highlight w:val="none"/>
        </w:rPr>
      </w:pPr>
      <w:r>
        <w:rPr>
          <w:rFonts w:hint="eastAsia" w:cs="仿宋"/>
          <w:b/>
          <w:highlight w:val="none"/>
        </w:rPr>
        <w:t>基本情况</w:t>
      </w:r>
    </w:p>
    <w:tbl>
      <w:tblPr>
        <w:tblStyle w:val="46"/>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709"/>
        <w:gridCol w:w="388"/>
        <w:gridCol w:w="333"/>
        <w:gridCol w:w="399"/>
        <w:gridCol w:w="94"/>
        <w:gridCol w:w="829"/>
        <w:gridCol w:w="1147"/>
        <w:gridCol w:w="198"/>
        <w:gridCol w:w="652"/>
        <w:gridCol w:w="1490"/>
      </w:tblGrid>
      <w:tr w14:paraId="7436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0D39463">
            <w:pPr>
              <w:shd w:val="clear"/>
              <w:topLinePunct/>
              <w:spacing w:line="360" w:lineRule="auto"/>
              <w:jc w:val="center"/>
              <w:rPr>
                <w:rFonts w:cs="仿宋"/>
                <w:highlight w:val="none"/>
              </w:rPr>
            </w:pPr>
            <w:r>
              <w:rPr>
                <w:rFonts w:hint="eastAsia" w:cs="仿宋"/>
                <w:highlight w:val="none"/>
              </w:rPr>
              <w:t>投标人名称</w:t>
            </w:r>
          </w:p>
        </w:tc>
        <w:tc>
          <w:tcPr>
            <w:tcW w:w="7656" w:type="dxa"/>
            <w:gridSpan w:val="11"/>
            <w:tcBorders>
              <w:top w:val="single" w:color="000000" w:sz="4" w:space="0"/>
              <w:left w:val="single" w:color="000000" w:sz="4" w:space="0"/>
              <w:bottom w:val="single" w:color="000000" w:sz="4" w:space="0"/>
              <w:right w:val="single" w:color="000000" w:sz="4" w:space="0"/>
            </w:tcBorders>
            <w:noWrap w:val="0"/>
            <w:vAlign w:val="center"/>
          </w:tcPr>
          <w:p w14:paraId="2C329C4D">
            <w:pPr>
              <w:shd w:val="clear"/>
              <w:topLinePunct/>
              <w:spacing w:line="360" w:lineRule="auto"/>
              <w:jc w:val="center"/>
              <w:rPr>
                <w:rFonts w:cs="仿宋"/>
                <w:highlight w:val="none"/>
              </w:rPr>
            </w:pPr>
          </w:p>
        </w:tc>
      </w:tr>
      <w:tr w14:paraId="6C4A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1A360F6">
            <w:pPr>
              <w:shd w:val="clear"/>
              <w:topLinePunct/>
              <w:spacing w:line="360" w:lineRule="auto"/>
              <w:ind w:left="-120" w:leftChars="-50" w:right="-120" w:rightChars="-50"/>
              <w:jc w:val="center"/>
              <w:rPr>
                <w:rFonts w:cs="仿宋"/>
                <w:highlight w:val="none"/>
              </w:rPr>
            </w:pPr>
            <w:r>
              <w:rPr>
                <w:rFonts w:hint="eastAsia" w:cs="仿宋"/>
                <w:highlight w:val="none"/>
              </w:rPr>
              <w:t>制造商</w:t>
            </w:r>
          </w:p>
        </w:tc>
        <w:tc>
          <w:tcPr>
            <w:tcW w:w="2847" w:type="dxa"/>
            <w:gridSpan w:val="4"/>
            <w:tcBorders>
              <w:top w:val="single" w:color="000000" w:sz="4" w:space="0"/>
              <w:left w:val="single" w:color="000000" w:sz="4" w:space="0"/>
              <w:bottom w:val="single" w:color="000000" w:sz="4" w:space="0"/>
              <w:right w:val="single" w:color="000000" w:sz="4" w:space="0"/>
            </w:tcBorders>
            <w:noWrap w:val="0"/>
            <w:vAlign w:val="center"/>
          </w:tcPr>
          <w:p w14:paraId="59906802">
            <w:pPr>
              <w:shd w:val="clear"/>
              <w:topLinePunct/>
              <w:spacing w:line="360" w:lineRule="auto"/>
              <w:jc w:val="center"/>
              <w:rPr>
                <w:rFonts w:cs="仿宋"/>
                <w:b/>
                <w:bCs/>
                <w:kern w:val="44"/>
                <w:sz w:val="32"/>
                <w:highlight w:val="none"/>
              </w:rPr>
            </w:pPr>
          </w:p>
        </w:tc>
        <w:tc>
          <w:tcPr>
            <w:tcW w:w="1322" w:type="dxa"/>
            <w:gridSpan w:val="3"/>
            <w:tcBorders>
              <w:top w:val="single" w:color="000000" w:sz="4" w:space="0"/>
              <w:left w:val="single" w:color="000000" w:sz="4" w:space="0"/>
              <w:bottom w:val="single" w:color="000000" w:sz="4" w:space="0"/>
              <w:right w:val="single" w:color="000000" w:sz="4" w:space="0"/>
            </w:tcBorders>
            <w:noWrap w:val="0"/>
            <w:vAlign w:val="center"/>
          </w:tcPr>
          <w:p w14:paraId="44A35ECB">
            <w:pPr>
              <w:shd w:val="clear"/>
              <w:topLinePunct/>
              <w:spacing w:line="360" w:lineRule="auto"/>
              <w:jc w:val="center"/>
              <w:rPr>
                <w:rFonts w:cs="仿宋"/>
                <w:highlight w:val="none"/>
              </w:rPr>
            </w:pPr>
            <w:r>
              <w:rPr>
                <w:rFonts w:hint="eastAsia" w:cs="仿宋"/>
                <w:highlight w:val="none"/>
              </w:rPr>
              <w:t>所属集团</w:t>
            </w:r>
          </w:p>
        </w:tc>
        <w:tc>
          <w:tcPr>
            <w:tcW w:w="3487" w:type="dxa"/>
            <w:gridSpan w:val="4"/>
            <w:tcBorders>
              <w:top w:val="single" w:color="000000" w:sz="4" w:space="0"/>
              <w:left w:val="single" w:color="000000" w:sz="4" w:space="0"/>
              <w:bottom w:val="single" w:color="000000" w:sz="4" w:space="0"/>
              <w:right w:val="single" w:color="000000" w:sz="4" w:space="0"/>
            </w:tcBorders>
            <w:noWrap w:val="0"/>
            <w:vAlign w:val="center"/>
          </w:tcPr>
          <w:p w14:paraId="47B37B03">
            <w:pPr>
              <w:shd w:val="clear"/>
              <w:topLinePunct/>
              <w:spacing w:line="360" w:lineRule="auto"/>
              <w:jc w:val="center"/>
              <w:rPr>
                <w:rFonts w:cs="仿宋"/>
                <w:highlight w:val="none"/>
              </w:rPr>
            </w:pPr>
          </w:p>
        </w:tc>
      </w:tr>
      <w:tr w14:paraId="3C41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90EDDD7">
            <w:pPr>
              <w:shd w:val="clear"/>
              <w:topLinePunct/>
              <w:spacing w:line="360" w:lineRule="auto"/>
              <w:jc w:val="center"/>
              <w:rPr>
                <w:rFonts w:cs="仿宋"/>
                <w:highlight w:val="none"/>
              </w:rPr>
            </w:pPr>
            <w:r>
              <w:rPr>
                <w:rFonts w:hint="eastAsia" w:cs="仿宋"/>
                <w:highlight w:val="none"/>
              </w:rPr>
              <w:t>注册地址</w:t>
            </w:r>
          </w:p>
        </w:tc>
        <w:tc>
          <w:tcPr>
            <w:tcW w:w="4169" w:type="dxa"/>
            <w:gridSpan w:val="7"/>
            <w:tcBorders>
              <w:top w:val="single" w:color="000000" w:sz="4" w:space="0"/>
              <w:left w:val="single" w:color="000000" w:sz="4" w:space="0"/>
              <w:bottom w:val="single" w:color="000000" w:sz="4" w:space="0"/>
              <w:right w:val="single" w:color="000000" w:sz="4" w:space="0"/>
            </w:tcBorders>
            <w:noWrap w:val="0"/>
            <w:vAlign w:val="center"/>
          </w:tcPr>
          <w:p w14:paraId="7D8D3EA0">
            <w:pPr>
              <w:shd w:val="clear"/>
              <w:topLinePunct/>
              <w:spacing w:line="360" w:lineRule="auto"/>
              <w:jc w:val="center"/>
              <w:rPr>
                <w:rFonts w:cs="仿宋"/>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84B6BB4">
            <w:pPr>
              <w:shd w:val="clear"/>
              <w:topLinePunct/>
              <w:spacing w:line="360" w:lineRule="auto"/>
              <w:ind w:left="-120" w:leftChars="-50" w:right="-120" w:rightChars="-50"/>
              <w:jc w:val="center"/>
              <w:rPr>
                <w:rFonts w:cs="仿宋"/>
                <w:highlight w:val="none"/>
              </w:rPr>
            </w:pPr>
            <w:r>
              <w:rPr>
                <w:rFonts w:hint="eastAsia" w:cs="仿宋"/>
                <w:highlight w:val="none"/>
              </w:rPr>
              <w:t>邮政编码</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7FD45F72">
            <w:pPr>
              <w:shd w:val="clear"/>
              <w:topLinePunct/>
              <w:spacing w:line="360" w:lineRule="auto"/>
              <w:jc w:val="center"/>
              <w:rPr>
                <w:rFonts w:cs="仿宋"/>
                <w:highlight w:val="none"/>
              </w:rPr>
            </w:pPr>
          </w:p>
        </w:tc>
      </w:tr>
      <w:tr w14:paraId="3F88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6E41A27">
            <w:pPr>
              <w:shd w:val="clear"/>
              <w:topLinePunct/>
              <w:adjustRightInd w:val="0"/>
              <w:snapToGrid w:val="0"/>
              <w:spacing w:line="360" w:lineRule="auto"/>
              <w:jc w:val="center"/>
              <w:rPr>
                <w:rFonts w:cs="仿宋"/>
                <w:highlight w:val="none"/>
              </w:rPr>
            </w:pPr>
            <w:r>
              <w:rPr>
                <w:rFonts w:hint="eastAsia" w:cs="仿宋"/>
                <w:highlight w:val="none"/>
              </w:rPr>
              <w:t>成立或</w:t>
            </w:r>
          </w:p>
          <w:p w14:paraId="081B0323">
            <w:pPr>
              <w:shd w:val="clear"/>
              <w:topLinePunct/>
              <w:adjustRightInd w:val="0"/>
              <w:snapToGrid w:val="0"/>
              <w:spacing w:line="360" w:lineRule="auto"/>
              <w:jc w:val="center"/>
              <w:rPr>
                <w:rFonts w:cs="仿宋"/>
                <w:highlight w:val="none"/>
              </w:rPr>
            </w:pPr>
            <w:r>
              <w:rPr>
                <w:rFonts w:hint="eastAsia" w:cs="仿宋"/>
                <w:highlight w:val="none"/>
              </w:rPr>
              <w:t>注册时间</w:t>
            </w:r>
          </w:p>
        </w:tc>
        <w:tc>
          <w:tcPr>
            <w:tcW w:w="4169" w:type="dxa"/>
            <w:gridSpan w:val="7"/>
            <w:tcBorders>
              <w:top w:val="single" w:color="000000" w:sz="4" w:space="0"/>
              <w:left w:val="single" w:color="000000" w:sz="4" w:space="0"/>
              <w:bottom w:val="single" w:color="000000" w:sz="4" w:space="0"/>
              <w:right w:val="single" w:color="000000" w:sz="4" w:space="0"/>
            </w:tcBorders>
            <w:noWrap w:val="0"/>
            <w:vAlign w:val="center"/>
          </w:tcPr>
          <w:p w14:paraId="34134688">
            <w:pPr>
              <w:shd w:val="clear"/>
              <w:topLinePunct/>
              <w:spacing w:line="360" w:lineRule="auto"/>
              <w:jc w:val="center"/>
              <w:rPr>
                <w:rFonts w:cs="仿宋"/>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4A30A90">
            <w:pPr>
              <w:shd w:val="clear"/>
              <w:topLinePunct/>
              <w:spacing w:line="360" w:lineRule="auto"/>
              <w:ind w:left="-120" w:leftChars="-50" w:right="-120" w:rightChars="-50"/>
              <w:jc w:val="center"/>
              <w:rPr>
                <w:rFonts w:cs="仿宋"/>
                <w:highlight w:val="none"/>
              </w:rPr>
            </w:pPr>
            <w:r>
              <w:rPr>
                <w:rFonts w:hint="eastAsia" w:cs="仿宋"/>
                <w:highlight w:val="none"/>
              </w:rPr>
              <w:t>注册资金</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6FCBC08F">
            <w:pPr>
              <w:shd w:val="clear"/>
              <w:topLinePunct/>
              <w:spacing w:line="360" w:lineRule="auto"/>
              <w:jc w:val="center"/>
              <w:rPr>
                <w:rFonts w:cs="仿宋"/>
                <w:highlight w:val="none"/>
              </w:rPr>
            </w:pPr>
          </w:p>
        </w:tc>
      </w:tr>
      <w:tr w14:paraId="04D7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8833B5D">
            <w:pPr>
              <w:shd w:val="clear"/>
              <w:topLinePunct/>
              <w:spacing w:line="360" w:lineRule="auto"/>
              <w:jc w:val="center"/>
              <w:rPr>
                <w:rFonts w:cs="仿宋"/>
                <w:highlight w:val="none"/>
              </w:rPr>
            </w:pPr>
            <w:r>
              <w:rPr>
                <w:rFonts w:hint="eastAsia" w:cs="仿宋"/>
                <w:highlight w:val="none"/>
              </w:rPr>
              <w:t>主要负责人</w:t>
            </w:r>
          </w:p>
        </w:tc>
        <w:tc>
          <w:tcPr>
            <w:tcW w:w="4169" w:type="dxa"/>
            <w:gridSpan w:val="7"/>
            <w:tcBorders>
              <w:top w:val="single" w:color="000000" w:sz="4" w:space="0"/>
              <w:left w:val="single" w:color="000000" w:sz="4" w:space="0"/>
              <w:bottom w:val="single" w:color="000000" w:sz="4" w:space="0"/>
              <w:right w:val="single" w:color="000000" w:sz="4" w:space="0"/>
            </w:tcBorders>
            <w:noWrap w:val="0"/>
            <w:vAlign w:val="center"/>
          </w:tcPr>
          <w:p w14:paraId="1A12271B">
            <w:pPr>
              <w:shd w:val="clear"/>
              <w:topLinePunct/>
              <w:spacing w:line="360" w:lineRule="auto"/>
              <w:jc w:val="center"/>
              <w:rPr>
                <w:rFonts w:cs="仿宋"/>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5C446CB">
            <w:pPr>
              <w:shd w:val="clear"/>
              <w:topLinePunct/>
              <w:spacing w:line="360" w:lineRule="auto"/>
              <w:ind w:left="-120" w:leftChars="-50" w:right="-120" w:rightChars="-50"/>
              <w:jc w:val="center"/>
              <w:rPr>
                <w:rFonts w:cs="仿宋"/>
                <w:highlight w:val="none"/>
              </w:rPr>
            </w:pPr>
            <w:r>
              <w:rPr>
                <w:rFonts w:hint="eastAsia" w:cs="仿宋"/>
                <w:highlight w:val="none"/>
              </w:rPr>
              <w:t>电话</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07B4AA08">
            <w:pPr>
              <w:shd w:val="clear"/>
              <w:topLinePunct/>
              <w:spacing w:line="360" w:lineRule="auto"/>
              <w:jc w:val="center"/>
              <w:rPr>
                <w:rFonts w:cs="仿宋"/>
                <w:highlight w:val="none"/>
              </w:rPr>
            </w:pPr>
          </w:p>
        </w:tc>
      </w:tr>
      <w:tr w14:paraId="06D8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DECB42F">
            <w:pPr>
              <w:shd w:val="clear"/>
              <w:topLinePunct/>
              <w:spacing w:line="360" w:lineRule="auto"/>
              <w:jc w:val="center"/>
              <w:rPr>
                <w:rFonts w:cs="仿宋"/>
                <w:highlight w:val="none"/>
              </w:rPr>
            </w:pPr>
            <w:r>
              <w:rPr>
                <w:rFonts w:hint="eastAsia" w:cs="仿宋"/>
                <w:highlight w:val="none"/>
              </w:rPr>
              <w:t>联系方式</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1E12E78">
            <w:pPr>
              <w:shd w:val="clear"/>
              <w:topLinePunct/>
              <w:spacing w:line="360" w:lineRule="auto"/>
              <w:jc w:val="center"/>
              <w:rPr>
                <w:rFonts w:cs="仿宋"/>
                <w:highlight w:val="none"/>
              </w:rPr>
            </w:pPr>
            <w:r>
              <w:rPr>
                <w:rFonts w:hint="eastAsia" w:cs="仿宋"/>
                <w:highlight w:val="none"/>
              </w:rPr>
              <w:t>联系人</w:t>
            </w:r>
          </w:p>
        </w:tc>
        <w:tc>
          <w:tcPr>
            <w:tcW w:w="2752" w:type="dxa"/>
            <w:gridSpan w:val="6"/>
            <w:tcBorders>
              <w:top w:val="single" w:color="000000" w:sz="4" w:space="0"/>
              <w:left w:val="single" w:color="000000" w:sz="4" w:space="0"/>
              <w:bottom w:val="single" w:color="000000" w:sz="4" w:space="0"/>
              <w:right w:val="single" w:color="000000" w:sz="4" w:space="0"/>
            </w:tcBorders>
            <w:noWrap w:val="0"/>
            <w:vAlign w:val="center"/>
          </w:tcPr>
          <w:p w14:paraId="14007C8A">
            <w:pPr>
              <w:shd w:val="clear"/>
              <w:topLinePunct/>
              <w:spacing w:line="360" w:lineRule="auto"/>
              <w:jc w:val="center"/>
              <w:rPr>
                <w:rFonts w:cs="仿宋"/>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2B9F529">
            <w:pPr>
              <w:shd w:val="clear"/>
              <w:topLinePunct/>
              <w:spacing w:line="360" w:lineRule="auto"/>
              <w:ind w:left="-120" w:leftChars="-50" w:right="-120" w:rightChars="-50"/>
              <w:jc w:val="center"/>
              <w:rPr>
                <w:rFonts w:cs="仿宋"/>
                <w:highlight w:val="none"/>
              </w:rPr>
            </w:pPr>
            <w:r>
              <w:rPr>
                <w:rFonts w:hint="eastAsia" w:cs="仿宋"/>
                <w:highlight w:val="none"/>
              </w:rPr>
              <w:t>电话</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22CCAB19">
            <w:pPr>
              <w:shd w:val="clear"/>
              <w:topLinePunct/>
              <w:spacing w:line="360" w:lineRule="auto"/>
              <w:jc w:val="center"/>
              <w:rPr>
                <w:rFonts w:cs="仿宋"/>
                <w:highlight w:val="none"/>
              </w:rPr>
            </w:pPr>
          </w:p>
        </w:tc>
      </w:tr>
      <w:tr w14:paraId="6312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F4D7E">
            <w:pPr>
              <w:shd w:val="clear"/>
              <w:spacing w:line="360" w:lineRule="auto"/>
              <w:rPr>
                <w:rFonts w:cs="仿宋"/>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3CE610D">
            <w:pPr>
              <w:shd w:val="clear"/>
              <w:topLinePunct/>
              <w:spacing w:line="360" w:lineRule="auto"/>
              <w:jc w:val="center"/>
              <w:rPr>
                <w:rFonts w:cs="仿宋"/>
                <w:highlight w:val="none"/>
              </w:rPr>
            </w:pPr>
            <w:r>
              <w:rPr>
                <w:rFonts w:hint="eastAsia" w:cs="仿宋"/>
                <w:highlight w:val="none"/>
              </w:rPr>
              <w:t>传  真</w:t>
            </w:r>
          </w:p>
        </w:tc>
        <w:tc>
          <w:tcPr>
            <w:tcW w:w="2752" w:type="dxa"/>
            <w:gridSpan w:val="6"/>
            <w:tcBorders>
              <w:top w:val="single" w:color="000000" w:sz="4" w:space="0"/>
              <w:left w:val="single" w:color="000000" w:sz="4" w:space="0"/>
              <w:bottom w:val="single" w:color="000000" w:sz="4" w:space="0"/>
              <w:right w:val="single" w:color="000000" w:sz="4" w:space="0"/>
            </w:tcBorders>
            <w:noWrap w:val="0"/>
            <w:vAlign w:val="center"/>
          </w:tcPr>
          <w:p w14:paraId="704748E4">
            <w:pPr>
              <w:shd w:val="clear"/>
              <w:topLinePunct/>
              <w:spacing w:line="360" w:lineRule="auto"/>
              <w:jc w:val="center"/>
              <w:rPr>
                <w:rFonts w:cs="仿宋"/>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6916ED3">
            <w:pPr>
              <w:shd w:val="clear"/>
              <w:topLinePunct/>
              <w:spacing w:line="360" w:lineRule="auto"/>
              <w:ind w:left="-120" w:leftChars="-50" w:right="-120" w:rightChars="-50"/>
              <w:jc w:val="center"/>
              <w:rPr>
                <w:rFonts w:cs="仿宋"/>
                <w:highlight w:val="none"/>
              </w:rPr>
            </w:pPr>
            <w:r>
              <w:rPr>
                <w:rFonts w:hint="eastAsia" w:cs="仿宋"/>
                <w:highlight w:val="none"/>
              </w:rPr>
              <w:t>电子邮箱</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125ED7F8">
            <w:pPr>
              <w:shd w:val="clear"/>
              <w:topLinePunct/>
              <w:spacing w:line="360" w:lineRule="auto"/>
              <w:jc w:val="center"/>
              <w:rPr>
                <w:rFonts w:cs="仿宋"/>
                <w:highlight w:val="none"/>
              </w:rPr>
            </w:pPr>
          </w:p>
        </w:tc>
      </w:tr>
      <w:tr w14:paraId="655B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A6788F">
            <w:pPr>
              <w:shd w:val="clear"/>
              <w:topLinePunct/>
              <w:spacing w:line="360" w:lineRule="auto"/>
              <w:jc w:val="center"/>
              <w:rPr>
                <w:rFonts w:cs="仿宋"/>
                <w:highlight w:val="none"/>
              </w:rPr>
            </w:pPr>
            <w:r>
              <w:rPr>
                <w:rFonts w:hint="eastAsia" w:cs="仿宋"/>
                <w:highlight w:val="none"/>
              </w:rPr>
              <w:t>制造企业</w:t>
            </w:r>
          </w:p>
          <w:p w14:paraId="1D1EA8B6">
            <w:pPr>
              <w:shd w:val="clear"/>
              <w:topLinePunct/>
              <w:spacing w:line="360" w:lineRule="auto"/>
              <w:jc w:val="center"/>
              <w:rPr>
                <w:rFonts w:cs="仿宋"/>
                <w:highlight w:val="none"/>
              </w:rPr>
            </w:pPr>
            <w:r>
              <w:rPr>
                <w:rFonts w:hint="eastAsia" w:cs="仿宋"/>
                <w:highlight w:val="none"/>
              </w:rPr>
              <w:t>基本情况</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A49B008">
            <w:pPr>
              <w:shd w:val="clear"/>
              <w:topLinePunct/>
              <w:spacing w:line="360" w:lineRule="auto"/>
              <w:ind w:left="-120" w:leftChars="-50" w:right="-120" w:rightChars="-50"/>
              <w:jc w:val="center"/>
              <w:rPr>
                <w:rFonts w:cs="仿宋"/>
                <w:highlight w:val="none"/>
              </w:rPr>
            </w:pPr>
            <w:r>
              <w:rPr>
                <w:rFonts w:hint="eastAsia" w:cs="仿宋"/>
                <w:highlight w:val="none"/>
              </w:rPr>
              <w:t>名称</w:t>
            </w:r>
          </w:p>
        </w:tc>
        <w:tc>
          <w:tcPr>
            <w:tcW w:w="2752" w:type="dxa"/>
            <w:gridSpan w:val="6"/>
            <w:tcBorders>
              <w:top w:val="single" w:color="000000" w:sz="4" w:space="0"/>
              <w:left w:val="single" w:color="000000" w:sz="4" w:space="0"/>
              <w:bottom w:val="single" w:color="000000" w:sz="4" w:space="0"/>
              <w:right w:val="single" w:color="000000" w:sz="4" w:space="0"/>
            </w:tcBorders>
            <w:noWrap w:val="0"/>
            <w:vAlign w:val="center"/>
          </w:tcPr>
          <w:p w14:paraId="01C19CD8">
            <w:pPr>
              <w:shd w:val="clear"/>
              <w:topLinePunct/>
              <w:spacing w:line="360" w:lineRule="auto"/>
              <w:jc w:val="center"/>
              <w:rPr>
                <w:rFonts w:cs="仿宋"/>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D5DAC8E">
            <w:pPr>
              <w:shd w:val="clear"/>
              <w:topLinePunct/>
              <w:spacing w:line="360" w:lineRule="auto"/>
              <w:ind w:left="-120" w:leftChars="-50" w:right="-120" w:rightChars="-50"/>
              <w:jc w:val="center"/>
              <w:rPr>
                <w:rFonts w:cs="仿宋"/>
                <w:highlight w:val="none"/>
              </w:rPr>
            </w:pPr>
            <w:r>
              <w:rPr>
                <w:rFonts w:hint="eastAsia" w:cs="仿宋"/>
                <w:highlight w:val="none"/>
              </w:rPr>
              <w:t>地址</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60D0B3E5">
            <w:pPr>
              <w:shd w:val="clear"/>
              <w:topLinePunct/>
              <w:spacing w:line="360" w:lineRule="auto"/>
              <w:jc w:val="center"/>
              <w:rPr>
                <w:rFonts w:cs="仿宋"/>
                <w:highlight w:val="none"/>
              </w:rPr>
            </w:pPr>
          </w:p>
        </w:tc>
      </w:tr>
      <w:tr w14:paraId="7F96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2BCF2">
            <w:pPr>
              <w:shd w:val="clear"/>
              <w:spacing w:line="360" w:lineRule="auto"/>
              <w:rPr>
                <w:rFonts w:cs="仿宋"/>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9BF718C">
            <w:pPr>
              <w:shd w:val="clear"/>
              <w:topLinePunct/>
              <w:adjustRightInd w:val="0"/>
              <w:snapToGrid w:val="0"/>
              <w:spacing w:line="360" w:lineRule="auto"/>
              <w:jc w:val="center"/>
              <w:rPr>
                <w:rFonts w:cs="仿宋"/>
                <w:highlight w:val="none"/>
              </w:rPr>
            </w:pPr>
            <w:r>
              <w:rPr>
                <w:rFonts w:hint="eastAsia" w:cs="仿宋"/>
                <w:highlight w:val="none"/>
              </w:rPr>
              <w:t>年生产能力</w:t>
            </w:r>
          </w:p>
        </w:tc>
        <w:tc>
          <w:tcPr>
            <w:tcW w:w="2752" w:type="dxa"/>
            <w:gridSpan w:val="6"/>
            <w:tcBorders>
              <w:top w:val="single" w:color="000000" w:sz="4" w:space="0"/>
              <w:left w:val="single" w:color="000000" w:sz="4" w:space="0"/>
              <w:bottom w:val="single" w:color="000000" w:sz="4" w:space="0"/>
              <w:right w:val="single" w:color="000000" w:sz="4" w:space="0"/>
            </w:tcBorders>
            <w:noWrap w:val="0"/>
            <w:vAlign w:val="center"/>
          </w:tcPr>
          <w:p w14:paraId="5C70F917">
            <w:pPr>
              <w:shd w:val="clear"/>
              <w:topLinePunct/>
              <w:spacing w:line="360" w:lineRule="auto"/>
              <w:jc w:val="center"/>
              <w:rPr>
                <w:rFonts w:cs="仿宋"/>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1D31C0F">
            <w:pPr>
              <w:shd w:val="clear"/>
              <w:topLinePunct/>
              <w:spacing w:line="360" w:lineRule="auto"/>
              <w:ind w:left="-120" w:leftChars="-50" w:right="-120" w:rightChars="-50"/>
              <w:jc w:val="center"/>
              <w:rPr>
                <w:rFonts w:cs="仿宋"/>
                <w:highlight w:val="none"/>
              </w:rPr>
            </w:pPr>
            <w:r>
              <w:rPr>
                <w:rFonts w:hint="eastAsia" w:cs="仿宋"/>
                <w:highlight w:val="none"/>
              </w:rPr>
              <w:t>职工人数</w:t>
            </w:r>
          </w:p>
        </w:tc>
        <w:tc>
          <w:tcPr>
            <w:tcW w:w="2340" w:type="dxa"/>
            <w:gridSpan w:val="3"/>
            <w:tcBorders>
              <w:top w:val="single" w:color="000000" w:sz="4" w:space="0"/>
              <w:left w:val="single" w:color="000000" w:sz="4" w:space="0"/>
              <w:bottom w:val="single" w:color="000000" w:sz="4" w:space="0"/>
              <w:right w:val="single" w:color="000000" w:sz="4" w:space="0"/>
            </w:tcBorders>
            <w:noWrap w:val="0"/>
            <w:vAlign w:val="center"/>
          </w:tcPr>
          <w:p w14:paraId="5248372B">
            <w:pPr>
              <w:shd w:val="clear"/>
              <w:topLinePunct/>
              <w:spacing w:line="360" w:lineRule="auto"/>
              <w:jc w:val="center"/>
              <w:rPr>
                <w:rFonts w:cs="仿宋"/>
                <w:highlight w:val="none"/>
              </w:rPr>
            </w:pPr>
          </w:p>
        </w:tc>
      </w:tr>
      <w:tr w14:paraId="6285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C9437">
            <w:pPr>
              <w:shd w:val="clear"/>
              <w:spacing w:line="360" w:lineRule="auto"/>
              <w:rPr>
                <w:rFonts w:cs="仿宋"/>
                <w:highlight w:val="none"/>
              </w:rPr>
            </w:pPr>
          </w:p>
        </w:tc>
        <w:tc>
          <w:tcPr>
            <w:tcW w:w="1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73BD9CC">
            <w:pPr>
              <w:shd w:val="clear"/>
              <w:topLinePunct/>
              <w:spacing w:line="360" w:lineRule="auto"/>
              <w:jc w:val="center"/>
              <w:rPr>
                <w:rFonts w:cs="仿宋"/>
                <w:highlight w:val="none"/>
              </w:rPr>
            </w:pPr>
            <w:r>
              <w:rPr>
                <w:rFonts w:hint="eastAsia" w:cs="仿宋"/>
                <w:highlight w:val="none"/>
              </w:rPr>
              <w:t>需外购的</w:t>
            </w:r>
          </w:p>
          <w:p w14:paraId="4EE974BE">
            <w:pPr>
              <w:shd w:val="clear"/>
              <w:topLinePunct/>
              <w:spacing w:line="360" w:lineRule="auto"/>
              <w:ind w:left="-122" w:leftChars="-51" w:right="-146" w:rightChars="-61"/>
              <w:jc w:val="center"/>
              <w:rPr>
                <w:rFonts w:cs="仿宋"/>
                <w:highlight w:val="none"/>
              </w:rPr>
            </w:pPr>
            <w:r>
              <w:rPr>
                <w:rFonts w:hint="eastAsia" w:cs="仿宋"/>
                <w:highlight w:val="none"/>
              </w:rPr>
              <w:t>主要零部件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27E9BD">
            <w:pPr>
              <w:shd w:val="clear"/>
              <w:topLinePunct/>
              <w:spacing w:line="360" w:lineRule="auto"/>
              <w:jc w:val="center"/>
              <w:rPr>
                <w:rFonts w:cs="仿宋"/>
                <w:highlight w:val="none"/>
              </w:rPr>
            </w:pPr>
            <w:r>
              <w:rPr>
                <w:rFonts w:hint="eastAsia" w:cs="仿宋"/>
                <w:highlight w:val="none"/>
              </w:rPr>
              <w:t>名称</w:t>
            </w:r>
          </w:p>
        </w:tc>
        <w:tc>
          <w:tcPr>
            <w:tcW w:w="1214" w:type="dxa"/>
            <w:gridSpan w:val="4"/>
            <w:tcBorders>
              <w:top w:val="single" w:color="000000" w:sz="4" w:space="0"/>
              <w:left w:val="single" w:color="000000" w:sz="4" w:space="0"/>
              <w:bottom w:val="single" w:color="000000" w:sz="4" w:space="0"/>
              <w:right w:val="single" w:color="000000" w:sz="4" w:space="0"/>
            </w:tcBorders>
            <w:noWrap w:val="0"/>
            <w:vAlign w:val="center"/>
          </w:tcPr>
          <w:p w14:paraId="19803528">
            <w:pPr>
              <w:shd w:val="clear"/>
              <w:topLinePunct/>
              <w:spacing w:line="360" w:lineRule="auto"/>
              <w:jc w:val="center"/>
              <w:rPr>
                <w:rFonts w:cs="仿宋"/>
                <w:highlight w:val="none"/>
              </w:rPr>
            </w:pPr>
          </w:p>
        </w:tc>
        <w:tc>
          <w:tcPr>
            <w:tcW w:w="2174" w:type="dxa"/>
            <w:gridSpan w:val="3"/>
            <w:tcBorders>
              <w:top w:val="single" w:color="000000" w:sz="4" w:space="0"/>
              <w:left w:val="single" w:color="000000" w:sz="4" w:space="0"/>
              <w:bottom w:val="single" w:color="000000" w:sz="4" w:space="0"/>
              <w:right w:val="single" w:color="000000" w:sz="4" w:space="0"/>
            </w:tcBorders>
            <w:noWrap w:val="0"/>
            <w:vAlign w:val="center"/>
          </w:tcPr>
          <w:p w14:paraId="12A7CEB4">
            <w:pPr>
              <w:shd w:val="clear"/>
              <w:topLinePunct/>
              <w:spacing w:line="360" w:lineRule="auto"/>
              <w:jc w:val="center"/>
              <w:rPr>
                <w:rFonts w:cs="仿宋"/>
                <w:highlight w:val="none"/>
              </w:rPr>
            </w:pPr>
            <w:r>
              <w:rPr>
                <w:rFonts w:hint="eastAsia" w:cs="仿宋"/>
                <w:highlight w:val="none"/>
              </w:rPr>
              <w:t>生产厂家及地址</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016A9BD9">
            <w:pPr>
              <w:shd w:val="clear"/>
              <w:topLinePunct/>
              <w:spacing w:line="360" w:lineRule="auto"/>
              <w:jc w:val="center"/>
              <w:rPr>
                <w:rFonts w:cs="仿宋"/>
                <w:highlight w:val="none"/>
              </w:rPr>
            </w:pPr>
          </w:p>
        </w:tc>
      </w:tr>
      <w:tr w14:paraId="64D1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169E2">
            <w:pPr>
              <w:shd w:val="clear"/>
              <w:spacing w:line="360" w:lineRule="auto"/>
              <w:rPr>
                <w:rFonts w:cs="仿宋"/>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0BBE3">
            <w:pPr>
              <w:shd w:val="clear"/>
              <w:spacing w:line="360" w:lineRule="auto"/>
              <w:rPr>
                <w:rFonts w:cs="仿宋"/>
                <w:highlight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E3D91C">
            <w:pPr>
              <w:shd w:val="clear"/>
              <w:topLinePunct/>
              <w:spacing w:line="360" w:lineRule="auto"/>
              <w:jc w:val="center"/>
              <w:rPr>
                <w:rFonts w:cs="仿宋"/>
                <w:highlight w:val="none"/>
              </w:rPr>
            </w:pPr>
            <w:r>
              <w:rPr>
                <w:rFonts w:hint="eastAsia" w:cs="仿宋"/>
                <w:highlight w:val="none"/>
              </w:rPr>
              <w:t>名称</w:t>
            </w:r>
          </w:p>
        </w:tc>
        <w:tc>
          <w:tcPr>
            <w:tcW w:w="1214" w:type="dxa"/>
            <w:gridSpan w:val="4"/>
            <w:tcBorders>
              <w:top w:val="single" w:color="000000" w:sz="4" w:space="0"/>
              <w:left w:val="single" w:color="000000" w:sz="4" w:space="0"/>
              <w:bottom w:val="single" w:color="000000" w:sz="4" w:space="0"/>
              <w:right w:val="single" w:color="000000" w:sz="4" w:space="0"/>
            </w:tcBorders>
            <w:noWrap w:val="0"/>
            <w:vAlign w:val="center"/>
          </w:tcPr>
          <w:p w14:paraId="78BA1175">
            <w:pPr>
              <w:shd w:val="clear"/>
              <w:topLinePunct/>
              <w:spacing w:line="360" w:lineRule="auto"/>
              <w:jc w:val="center"/>
              <w:rPr>
                <w:rFonts w:cs="仿宋"/>
                <w:highlight w:val="none"/>
              </w:rPr>
            </w:pPr>
          </w:p>
        </w:tc>
        <w:tc>
          <w:tcPr>
            <w:tcW w:w="2174" w:type="dxa"/>
            <w:gridSpan w:val="3"/>
            <w:tcBorders>
              <w:top w:val="single" w:color="000000" w:sz="4" w:space="0"/>
              <w:left w:val="single" w:color="000000" w:sz="4" w:space="0"/>
              <w:bottom w:val="single" w:color="000000" w:sz="4" w:space="0"/>
              <w:right w:val="single" w:color="000000" w:sz="4" w:space="0"/>
            </w:tcBorders>
            <w:noWrap w:val="0"/>
            <w:vAlign w:val="center"/>
          </w:tcPr>
          <w:p w14:paraId="68CC514C">
            <w:pPr>
              <w:shd w:val="clear"/>
              <w:topLinePunct/>
              <w:spacing w:line="360" w:lineRule="auto"/>
              <w:jc w:val="center"/>
              <w:rPr>
                <w:rFonts w:cs="仿宋"/>
                <w:highlight w:val="none"/>
              </w:rPr>
            </w:pPr>
            <w:r>
              <w:rPr>
                <w:rFonts w:hint="eastAsia" w:cs="仿宋"/>
                <w:highlight w:val="none"/>
              </w:rPr>
              <w:t>生产厂家及地址</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29A9C441">
            <w:pPr>
              <w:shd w:val="clear"/>
              <w:topLinePunct/>
              <w:spacing w:line="360" w:lineRule="auto"/>
              <w:jc w:val="center"/>
              <w:rPr>
                <w:rFonts w:cs="仿宋"/>
                <w:highlight w:val="none"/>
              </w:rPr>
            </w:pPr>
          </w:p>
        </w:tc>
      </w:tr>
      <w:tr w14:paraId="4BBB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803D0">
            <w:pPr>
              <w:shd w:val="clear"/>
              <w:spacing w:line="360" w:lineRule="auto"/>
              <w:rPr>
                <w:rFonts w:cs="仿宋"/>
                <w:highlight w:val="none"/>
              </w:rPr>
            </w:pPr>
          </w:p>
        </w:tc>
        <w:tc>
          <w:tcPr>
            <w:tcW w:w="1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DB4E1DB">
            <w:pPr>
              <w:shd w:val="clear"/>
              <w:topLinePunct/>
              <w:spacing w:line="360" w:lineRule="auto"/>
              <w:jc w:val="center"/>
              <w:rPr>
                <w:rFonts w:cs="仿宋"/>
                <w:highlight w:val="none"/>
              </w:rPr>
            </w:pPr>
            <w:r>
              <w:rPr>
                <w:rFonts w:hint="eastAsia" w:cs="仿宋"/>
                <w:highlight w:val="none"/>
              </w:rPr>
              <w:t>需外购的</w:t>
            </w:r>
          </w:p>
          <w:p w14:paraId="2FB389A5">
            <w:pPr>
              <w:shd w:val="clear"/>
              <w:topLinePunct/>
              <w:spacing w:line="360" w:lineRule="auto"/>
              <w:jc w:val="center"/>
              <w:rPr>
                <w:rFonts w:cs="仿宋"/>
                <w:highlight w:val="none"/>
              </w:rPr>
            </w:pPr>
            <w:r>
              <w:rPr>
                <w:rFonts w:hint="eastAsia" w:cs="仿宋"/>
                <w:highlight w:val="none"/>
              </w:rPr>
              <w:t>易损件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45F6A6">
            <w:pPr>
              <w:shd w:val="clear"/>
              <w:topLinePunct/>
              <w:spacing w:line="360" w:lineRule="auto"/>
              <w:jc w:val="center"/>
              <w:rPr>
                <w:rFonts w:cs="仿宋"/>
                <w:highlight w:val="none"/>
              </w:rPr>
            </w:pPr>
            <w:r>
              <w:rPr>
                <w:rFonts w:hint="eastAsia" w:cs="仿宋"/>
                <w:highlight w:val="none"/>
              </w:rPr>
              <w:t>名称</w:t>
            </w:r>
          </w:p>
        </w:tc>
        <w:tc>
          <w:tcPr>
            <w:tcW w:w="1214" w:type="dxa"/>
            <w:gridSpan w:val="4"/>
            <w:tcBorders>
              <w:top w:val="single" w:color="000000" w:sz="4" w:space="0"/>
              <w:left w:val="single" w:color="000000" w:sz="4" w:space="0"/>
              <w:bottom w:val="single" w:color="000000" w:sz="4" w:space="0"/>
              <w:right w:val="single" w:color="000000" w:sz="4" w:space="0"/>
            </w:tcBorders>
            <w:noWrap w:val="0"/>
            <w:vAlign w:val="center"/>
          </w:tcPr>
          <w:p w14:paraId="7EE12474">
            <w:pPr>
              <w:shd w:val="clear"/>
              <w:topLinePunct/>
              <w:spacing w:line="360" w:lineRule="auto"/>
              <w:jc w:val="center"/>
              <w:rPr>
                <w:rFonts w:cs="仿宋"/>
                <w:highlight w:val="none"/>
              </w:rPr>
            </w:pPr>
          </w:p>
        </w:tc>
        <w:tc>
          <w:tcPr>
            <w:tcW w:w="2174" w:type="dxa"/>
            <w:gridSpan w:val="3"/>
            <w:tcBorders>
              <w:top w:val="single" w:color="000000" w:sz="4" w:space="0"/>
              <w:left w:val="single" w:color="000000" w:sz="4" w:space="0"/>
              <w:bottom w:val="single" w:color="000000" w:sz="4" w:space="0"/>
              <w:right w:val="single" w:color="000000" w:sz="4" w:space="0"/>
            </w:tcBorders>
            <w:noWrap w:val="0"/>
            <w:vAlign w:val="center"/>
          </w:tcPr>
          <w:p w14:paraId="1462094E">
            <w:pPr>
              <w:shd w:val="clear"/>
              <w:topLinePunct/>
              <w:spacing w:line="360" w:lineRule="auto"/>
              <w:jc w:val="center"/>
              <w:rPr>
                <w:rFonts w:cs="仿宋"/>
                <w:highlight w:val="none"/>
              </w:rPr>
            </w:pPr>
            <w:r>
              <w:rPr>
                <w:rFonts w:hint="eastAsia" w:cs="仿宋"/>
                <w:highlight w:val="none"/>
              </w:rPr>
              <w:t>生产厂家及地址</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5DFCD24E">
            <w:pPr>
              <w:shd w:val="clear"/>
              <w:topLinePunct/>
              <w:spacing w:line="360" w:lineRule="auto"/>
              <w:jc w:val="center"/>
              <w:rPr>
                <w:rFonts w:cs="仿宋"/>
                <w:highlight w:val="none"/>
              </w:rPr>
            </w:pPr>
          </w:p>
        </w:tc>
      </w:tr>
      <w:tr w14:paraId="1244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29133">
            <w:pPr>
              <w:shd w:val="clear"/>
              <w:spacing w:line="360" w:lineRule="auto"/>
              <w:rPr>
                <w:rFonts w:cs="仿宋"/>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6A29F">
            <w:pPr>
              <w:shd w:val="clear"/>
              <w:spacing w:line="360" w:lineRule="auto"/>
              <w:rPr>
                <w:rFonts w:cs="仿宋"/>
                <w:highlight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4B3ED2">
            <w:pPr>
              <w:shd w:val="clear"/>
              <w:topLinePunct/>
              <w:spacing w:line="360" w:lineRule="auto"/>
              <w:jc w:val="center"/>
              <w:rPr>
                <w:rFonts w:cs="仿宋"/>
                <w:highlight w:val="none"/>
              </w:rPr>
            </w:pPr>
            <w:r>
              <w:rPr>
                <w:rFonts w:hint="eastAsia" w:cs="仿宋"/>
                <w:highlight w:val="none"/>
              </w:rPr>
              <w:t>名称</w:t>
            </w:r>
          </w:p>
        </w:tc>
        <w:tc>
          <w:tcPr>
            <w:tcW w:w="1214" w:type="dxa"/>
            <w:gridSpan w:val="4"/>
            <w:tcBorders>
              <w:top w:val="single" w:color="000000" w:sz="4" w:space="0"/>
              <w:left w:val="single" w:color="000000" w:sz="4" w:space="0"/>
              <w:bottom w:val="single" w:color="000000" w:sz="4" w:space="0"/>
              <w:right w:val="single" w:color="000000" w:sz="4" w:space="0"/>
            </w:tcBorders>
            <w:noWrap w:val="0"/>
            <w:vAlign w:val="center"/>
          </w:tcPr>
          <w:p w14:paraId="55DCAEA5">
            <w:pPr>
              <w:shd w:val="clear"/>
              <w:topLinePunct/>
              <w:spacing w:line="360" w:lineRule="auto"/>
              <w:jc w:val="center"/>
              <w:rPr>
                <w:rFonts w:cs="仿宋"/>
                <w:highlight w:val="none"/>
              </w:rPr>
            </w:pPr>
          </w:p>
        </w:tc>
        <w:tc>
          <w:tcPr>
            <w:tcW w:w="2174" w:type="dxa"/>
            <w:gridSpan w:val="3"/>
            <w:tcBorders>
              <w:top w:val="single" w:color="000000" w:sz="4" w:space="0"/>
              <w:left w:val="single" w:color="000000" w:sz="4" w:space="0"/>
              <w:bottom w:val="single" w:color="000000" w:sz="4" w:space="0"/>
              <w:right w:val="single" w:color="000000" w:sz="4" w:space="0"/>
            </w:tcBorders>
            <w:noWrap w:val="0"/>
            <w:vAlign w:val="center"/>
          </w:tcPr>
          <w:p w14:paraId="6F7E5823">
            <w:pPr>
              <w:shd w:val="clear"/>
              <w:topLinePunct/>
              <w:spacing w:line="360" w:lineRule="auto"/>
              <w:jc w:val="center"/>
              <w:rPr>
                <w:rFonts w:cs="仿宋"/>
                <w:highlight w:val="none"/>
              </w:rPr>
            </w:pPr>
            <w:r>
              <w:rPr>
                <w:rFonts w:hint="eastAsia" w:cs="仿宋"/>
                <w:highlight w:val="none"/>
              </w:rPr>
              <w:t>生产厂家及地址</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642B5474">
            <w:pPr>
              <w:shd w:val="clear"/>
              <w:topLinePunct/>
              <w:spacing w:line="360" w:lineRule="auto"/>
              <w:jc w:val="center"/>
              <w:rPr>
                <w:rFonts w:cs="仿宋"/>
                <w:highlight w:val="none"/>
              </w:rPr>
            </w:pPr>
          </w:p>
        </w:tc>
      </w:tr>
      <w:tr w14:paraId="2F4E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01975">
            <w:pPr>
              <w:shd w:val="clear"/>
              <w:spacing w:line="360" w:lineRule="auto"/>
              <w:rPr>
                <w:rFonts w:cs="仿宋"/>
                <w:highlight w:val="none"/>
              </w:rPr>
            </w:pPr>
          </w:p>
        </w:tc>
        <w:tc>
          <w:tcPr>
            <w:tcW w:w="1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A1EEC0">
            <w:pPr>
              <w:shd w:val="clear"/>
              <w:topLinePunct/>
              <w:spacing w:line="360" w:lineRule="auto"/>
              <w:jc w:val="center"/>
              <w:rPr>
                <w:rFonts w:cs="仿宋"/>
                <w:highlight w:val="none"/>
              </w:rPr>
            </w:pPr>
            <w:r>
              <w:rPr>
                <w:rFonts w:hint="eastAsia" w:cs="仿宋"/>
                <w:highlight w:val="none"/>
              </w:rPr>
              <w:t>近3年</w:t>
            </w:r>
          </w:p>
          <w:p w14:paraId="475BD3D8">
            <w:pPr>
              <w:shd w:val="clear"/>
              <w:topLinePunct/>
              <w:spacing w:line="360" w:lineRule="auto"/>
              <w:jc w:val="center"/>
              <w:rPr>
                <w:rFonts w:cs="仿宋"/>
                <w:highlight w:val="none"/>
              </w:rPr>
            </w:pPr>
            <w:r>
              <w:rPr>
                <w:rFonts w:hint="eastAsia" w:cs="仿宋"/>
                <w:highlight w:val="none"/>
              </w:rPr>
              <w:t>营业额</w:t>
            </w:r>
          </w:p>
        </w:tc>
        <w:tc>
          <w:tcPr>
            <w:tcW w:w="1097" w:type="dxa"/>
            <w:gridSpan w:val="2"/>
            <w:tcBorders>
              <w:top w:val="single" w:color="000000" w:sz="4" w:space="0"/>
              <w:left w:val="single" w:color="000000" w:sz="4" w:space="0"/>
              <w:bottom w:val="single" w:color="000000" w:sz="4" w:space="0"/>
              <w:right w:val="single" w:color="000000" w:sz="4" w:space="0"/>
            </w:tcBorders>
            <w:noWrap w:val="0"/>
            <w:vAlign w:val="center"/>
          </w:tcPr>
          <w:p w14:paraId="7E91264A">
            <w:pPr>
              <w:shd w:val="clear"/>
              <w:topLinePunct/>
              <w:spacing w:line="360" w:lineRule="auto"/>
              <w:jc w:val="center"/>
              <w:rPr>
                <w:rFonts w:cs="仿宋"/>
                <w:highlight w:val="none"/>
              </w:rPr>
            </w:pPr>
            <w:r>
              <w:rPr>
                <w:rFonts w:hint="eastAsia" w:cs="仿宋"/>
                <w:highlight w:val="none"/>
              </w:rPr>
              <w:t>年份</w:t>
            </w:r>
          </w:p>
        </w:tc>
        <w:tc>
          <w:tcPr>
            <w:tcW w:w="1655" w:type="dxa"/>
            <w:gridSpan w:val="4"/>
            <w:tcBorders>
              <w:top w:val="single" w:color="000000" w:sz="4" w:space="0"/>
              <w:left w:val="single" w:color="000000" w:sz="4" w:space="0"/>
              <w:bottom w:val="single" w:color="000000" w:sz="4" w:space="0"/>
              <w:right w:val="single" w:color="000000" w:sz="4" w:space="0"/>
            </w:tcBorders>
            <w:noWrap w:val="0"/>
            <w:vAlign w:val="center"/>
          </w:tcPr>
          <w:p w14:paraId="161A5038">
            <w:pPr>
              <w:shd w:val="clear"/>
              <w:topLinePunct/>
              <w:spacing w:line="360" w:lineRule="auto"/>
              <w:jc w:val="center"/>
              <w:rPr>
                <w:rFonts w:cs="仿宋"/>
                <w:highlight w:val="none"/>
              </w:rPr>
            </w:pPr>
          </w:p>
        </w:tc>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14:paraId="5012CAEC">
            <w:pPr>
              <w:shd w:val="clear"/>
              <w:topLinePunct/>
              <w:spacing w:line="360" w:lineRule="auto"/>
              <w:jc w:val="center"/>
              <w:rPr>
                <w:rFonts w:cs="仿宋"/>
                <w:highlight w:val="none"/>
              </w:rPr>
            </w:pPr>
            <w:r>
              <w:rPr>
                <w:rFonts w:hint="eastAsia" w:cs="仿宋"/>
                <w:highlight w:val="none"/>
              </w:rPr>
              <w:t>金额</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1AE74CCA">
            <w:pPr>
              <w:shd w:val="clear"/>
              <w:topLinePunct/>
              <w:spacing w:line="360" w:lineRule="auto"/>
              <w:jc w:val="center"/>
              <w:rPr>
                <w:rFonts w:cs="仿宋"/>
                <w:highlight w:val="none"/>
              </w:rPr>
            </w:pPr>
          </w:p>
        </w:tc>
      </w:tr>
      <w:tr w14:paraId="4C14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02D09E">
            <w:pPr>
              <w:shd w:val="clear"/>
              <w:spacing w:line="360" w:lineRule="auto"/>
              <w:rPr>
                <w:rFonts w:cs="仿宋"/>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1A2F3">
            <w:pPr>
              <w:shd w:val="clear"/>
              <w:spacing w:line="360" w:lineRule="auto"/>
              <w:rPr>
                <w:rFonts w:cs="仿宋"/>
                <w:highlight w:val="none"/>
              </w:rPr>
            </w:pPr>
          </w:p>
        </w:tc>
        <w:tc>
          <w:tcPr>
            <w:tcW w:w="1097" w:type="dxa"/>
            <w:gridSpan w:val="2"/>
            <w:tcBorders>
              <w:top w:val="single" w:color="000000" w:sz="4" w:space="0"/>
              <w:left w:val="single" w:color="000000" w:sz="4" w:space="0"/>
              <w:bottom w:val="single" w:color="000000" w:sz="4" w:space="0"/>
              <w:right w:val="single" w:color="000000" w:sz="4" w:space="0"/>
            </w:tcBorders>
            <w:noWrap w:val="0"/>
            <w:vAlign w:val="center"/>
          </w:tcPr>
          <w:p w14:paraId="4793935A">
            <w:pPr>
              <w:shd w:val="clear"/>
              <w:topLinePunct/>
              <w:spacing w:line="360" w:lineRule="auto"/>
              <w:jc w:val="center"/>
              <w:rPr>
                <w:rFonts w:cs="仿宋"/>
                <w:highlight w:val="none"/>
              </w:rPr>
            </w:pPr>
            <w:r>
              <w:rPr>
                <w:rFonts w:hint="eastAsia" w:cs="仿宋"/>
                <w:highlight w:val="none"/>
              </w:rPr>
              <w:t>年份</w:t>
            </w:r>
          </w:p>
        </w:tc>
        <w:tc>
          <w:tcPr>
            <w:tcW w:w="1655" w:type="dxa"/>
            <w:gridSpan w:val="4"/>
            <w:tcBorders>
              <w:top w:val="single" w:color="000000" w:sz="4" w:space="0"/>
              <w:left w:val="single" w:color="000000" w:sz="4" w:space="0"/>
              <w:bottom w:val="single" w:color="000000" w:sz="4" w:space="0"/>
              <w:right w:val="single" w:color="000000" w:sz="4" w:space="0"/>
            </w:tcBorders>
            <w:noWrap w:val="0"/>
            <w:vAlign w:val="center"/>
          </w:tcPr>
          <w:p w14:paraId="42622916">
            <w:pPr>
              <w:shd w:val="clear"/>
              <w:topLinePunct/>
              <w:spacing w:line="360" w:lineRule="auto"/>
              <w:jc w:val="center"/>
              <w:rPr>
                <w:rFonts w:cs="仿宋"/>
                <w:highlight w:val="none"/>
              </w:rPr>
            </w:pPr>
          </w:p>
        </w:tc>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14:paraId="6B329972">
            <w:pPr>
              <w:shd w:val="clear"/>
              <w:topLinePunct/>
              <w:spacing w:line="360" w:lineRule="auto"/>
              <w:jc w:val="center"/>
              <w:rPr>
                <w:rFonts w:cs="仿宋"/>
                <w:highlight w:val="none"/>
              </w:rPr>
            </w:pPr>
            <w:r>
              <w:rPr>
                <w:rFonts w:hint="eastAsia" w:cs="仿宋"/>
                <w:highlight w:val="none"/>
              </w:rPr>
              <w:t>金额</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36BC1DE2">
            <w:pPr>
              <w:shd w:val="clear"/>
              <w:topLinePunct/>
              <w:spacing w:line="360" w:lineRule="auto"/>
              <w:jc w:val="center"/>
              <w:rPr>
                <w:rFonts w:cs="仿宋"/>
                <w:highlight w:val="none"/>
              </w:rPr>
            </w:pPr>
          </w:p>
        </w:tc>
      </w:tr>
      <w:tr w14:paraId="1180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183BD">
            <w:pPr>
              <w:shd w:val="clear"/>
              <w:spacing w:line="360" w:lineRule="auto"/>
              <w:rPr>
                <w:rFonts w:cs="仿宋"/>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D66FA">
            <w:pPr>
              <w:shd w:val="clear"/>
              <w:spacing w:line="360" w:lineRule="auto"/>
              <w:rPr>
                <w:rFonts w:cs="仿宋"/>
                <w:highlight w:val="none"/>
              </w:rPr>
            </w:pPr>
          </w:p>
        </w:tc>
        <w:tc>
          <w:tcPr>
            <w:tcW w:w="1097" w:type="dxa"/>
            <w:gridSpan w:val="2"/>
            <w:tcBorders>
              <w:top w:val="single" w:color="000000" w:sz="4" w:space="0"/>
              <w:left w:val="single" w:color="000000" w:sz="4" w:space="0"/>
              <w:bottom w:val="single" w:color="000000" w:sz="4" w:space="0"/>
              <w:right w:val="single" w:color="000000" w:sz="4" w:space="0"/>
            </w:tcBorders>
            <w:noWrap w:val="0"/>
            <w:vAlign w:val="center"/>
          </w:tcPr>
          <w:p w14:paraId="3EB0FA7C">
            <w:pPr>
              <w:shd w:val="clear"/>
              <w:topLinePunct/>
              <w:spacing w:line="360" w:lineRule="auto"/>
              <w:jc w:val="center"/>
              <w:rPr>
                <w:rFonts w:cs="仿宋"/>
                <w:highlight w:val="none"/>
              </w:rPr>
            </w:pPr>
            <w:r>
              <w:rPr>
                <w:rFonts w:hint="eastAsia" w:cs="仿宋"/>
                <w:highlight w:val="none"/>
              </w:rPr>
              <w:t>年份</w:t>
            </w:r>
          </w:p>
        </w:tc>
        <w:tc>
          <w:tcPr>
            <w:tcW w:w="1655" w:type="dxa"/>
            <w:gridSpan w:val="4"/>
            <w:tcBorders>
              <w:top w:val="single" w:color="000000" w:sz="4" w:space="0"/>
              <w:left w:val="single" w:color="000000" w:sz="4" w:space="0"/>
              <w:bottom w:val="single" w:color="000000" w:sz="4" w:space="0"/>
              <w:right w:val="single" w:color="000000" w:sz="4" w:space="0"/>
            </w:tcBorders>
            <w:noWrap w:val="0"/>
            <w:vAlign w:val="center"/>
          </w:tcPr>
          <w:p w14:paraId="50D86446">
            <w:pPr>
              <w:shd w:val="clear"/>
              <w:topLinePunct/>
              <w:spacing w:line="360" w:lineRule="auto"/>
              <w:jc w:val="center"/>
              <w:rPr>
                <w:rFonts w:cs="仿宋"/>
                <w:highlight w:val="none"/>
              </w:rPr>
            </w:pPr>
          </w:p>
        </w:tc>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14:paraId="5F84EDD3">
            <w:pPr>
              <w:shd w:val="clear"/>
              <w:topLinePunct/>
              <w:spacing w:line="360" w:lineRule="auto"/>
              <w:jc w:val="center"/>
              <w:rPr>
                <w:rFonts w:cs="仿宋"/>
                <w:highlight w:val="none"/>
              </w:rPr>
            </w:pPr>
            <w:r>
              <w:rPr>
                <w:rFonts w:hint="eastAsia" w:cs="仿宋"/>
                <w:highlight w:val="none"/>
              </w:rPr>
              <w:t>金额</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2FC9A94B">
            <w:pPr>
              <w:shd w:val="clear"/>
              <w:topLinePunct/>
              <w:spacing w:line="360" w:lineRule="auto"/>
              <w:jc w:val="center"/>
              <w:rPr>
                <w:rFonts w:cs="仿宋"/>
                <w:highlight w:val="none"/>
              </w:rPr>
            </w:pPr>
          </w:p>
        </w:tc>
      </w:tr>
      <w:tr w14:paraId="45B9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E1216">
            <w:pPr>
              <w:shd w:val="clear"/>
              <w:spacing w:line="360" w:lineRule="auto"/>
              <w:rPr>
                <w:rFonts w:cs="仿宋"/>
                <w:highlight w:val="none"/>
              </w:rPr>
            </w:pPr>
          </w:p>
        </w:tc>
        <w:tc>
          <w:tcPr>
            <w:tcW w:w="1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495B0F1E">
            <w:pPr>
              <w:shd w:val="clear"/>
              <w:topLinePunct/>
              <w:adjustRightInd w:val="0"/>
              <w:snapToGrid w:val="0"/>
              <w:spacing w:line="360" w:lineRule="auto"/>
              <w:ind w:left="-120" w:leftChars="-50" w:right="-120" w:rightChars="-50"/>
              <w:jc w:val="center"/>
              <w:rPr>
                <w:rFonts w:cs="仿宋"/>
                <w:highlight w:val="none"/>
              </w:rPr>
            </w:pPr>
            <w:r>
              <w:rPr>
                <w:rFonts w:hint="eastAsia" w:cs="仿宋"/>
                <w:highlight w:val="none"/>
              </w:rPr>
              <w:t>近期资产</w:t>
            </w:r>
          </w:p>
          <w:p w14:paraId="025CA1EF">
            <w:pPr>
              <w:shd w:val="clear"/>
              <w:topLinePunct/>
              <w:adjustRightInd w:val="0"/>
              <w:snapToGrid w:val="0"/>
              <w:spacing w:line="360" w:lineRule="auto"/>
              <w:jc w:val="center"/>
              <w:rPr>
                <w:rFonts w:cs="仿宋"/>
                <w:highlight w:val="none"/>
              </w:rPr>
            </w:pPr>
            <w:r>
              <w:rPr>
                <w:rFonts w:hint="eastAsia" w:cs="仿宋"/>
                <w:highlight w:val="none"/>
              </w:rPr>
              <w:t>负债表</w:t>
            </w:r>
          </w:p>
          <w:p w14:paraId="580211D7">
            <w:pPr>
              <w:shd w:val="clear"/>
              <w:topLinePunct/>
              <w:adjustRightInd w:val="0"/>
              <w:snapToGrid w:val="0"/>
              <w:spacing w:line="360" w:lineRule="auto"/>
              <w:ind w:right="-146" w:rightChars="-61"/>
              <w:jc w:val="center"/>
              <w:rPr>
                <w:rFonts w:cs="仿宋"/>
                <w:highlight w:val="none"/>
              </w:rPr>
            </w:pPr>
            <w:r>
              <w:rPr>
                <w:rFonts w:hint="eastAsia" w:cs="仿宋"/>
                <w:highlight w:val="none"/>
              </w:rPr>
              <w:t>到年月日止</w:t>
            </w:r>
          </w:p>
        </w:tc>
        <w:tc>
          <w:tcPr>
            <w:tcW w:w="1097" w:type="dxa"/>
            <w:gridSpan w:val="2"/>
            <w:tcBorders>
              <w:top w:val="single" w:color="000000" w:sz="4" w:space="0"/>
              <w:left w:val="single" w:color="000000" w:sz="4" w:space="0"/>
              <w:bottom w:val="single" w:color="000000" w:sz="4" w:space="0"/>
              <w:right w:val="single" w:color="000000" w:sz="4" w:space="0"/>
            </w:tcBorders>
            <w:noWrap w:val="0"/>
            <w:vAlign w:val="center"/>
          </w:tcPr>
          <w:p w14:paraId="1C66F3B1">
            <w:pPr>
              <w:shd w:val="clear"/>
              <w:topLinePunct/>
              <w:spacing w:line="360" w:lineRule="auto"/>
              <w:ind w:left="-120" w:leftChars="-50" w:right="-120" w:rightChars="-50"/>
              <w:jc w:val="center"/>
              <w:rPr>
                <w:rFonts w:cs="仿宋"/>
                <w:highlight w:val="none"/>
              </w:rPr>
            </w:pPr>
            <w:r>
              <w:rPr>
                <w:rFonts w:hint="eastAsia" w:cs="仿宋"/>
                <w:highlight w:val="none"/>
              </w:rPr>
              <w:t>固定资产</w:t>
            </w:r>
          </w:p>
        </w:tc>
        <w:tc>
          <w:tcPr>
            <w:tcW w:w="1655" w:type="dxa"/>
            <w:gridSpan w:val="4"/>
            <w:tcBorders>
              <w:top w:val="single" w:color="000000" w:sz="4" w:space="0"/>
              <w:left w:val="single" w:color="000000" w:sz="4" w:space="0"/>
              <w:bottom w:val="single" w:color="000000" w:sz="4" w:space="0"/>
              <w:right w:val="single" w:color="000000" w:sz="4" w:space="0"/>
            </w:tcBorders>
            <w:noWrap w:val="0"/>
            <w:vAlign w:val="center"/>
          </w:tcPr>
          <w:p w14:paraId="490C124E">
            <w:pPr>
              <w:shd w:val="clear"/>
              <w:topLinePunct/>
              <w:spacing w:line="360" w:lineRule="auto"/>
              <w:jc w:val="center"/>
              <w:rPr>
                <w:rFonts w:cs="仿宋"/>
                <w:highlight w:val="none"/>
              </w:rPr>
            </w:pPr>
          </w:p>
        </w:tc>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14:paraId="486567DD">
            <w:pPr>
              <w:shd w:val="clear"/>
              <w:topLinePunct/>
              <w:spacing w:line="360" w:lineRule="auto"/>
              <w:ind w:left="-120" w:leftChars="-50" w:right="-120" w:rightChars="-50"/>
              <w:jc w:val="center"/>
              <w:rPr>
                <w:rFonts w:cs="仿宋"/>
                <w:highlight w:val="none"/>
              </w:rPr>
            </w:pPr>
            <w:r>
              <w:rPr>
                <w:rFonts w:hint="eastAsia" w:cs="仿宋"/>
                <w:highlight w:val="none"/>
              </w:rPr>
              <w:t>流动资产</w:t>
            </w:r>
          </w:p>
        </w:tc>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14:paraId="5C7D131C">
            <w:pPr>
              <w:shd w:val="clear"/>
              <w:topLinePunct/>
              <w:spacing w:line="360" w:lineRule="auto"/>
              <w:ind w:left="-120" w:leftChars="-50" w:right="-120" w:rightChars="-50"/>
              <w:jc w:val="center"/>
              <w:rPr>
                <w:rFonts w:cs="仿宋"/>
                <w:highlight w:val="none"/>
              </w:rPr>
            </w:pPr>
          </w:p>
        </w:tc>
      </w:tr>
      <w:tr w14:paraId="66B6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E1CF2">
            <w:pPr>
              <w:shd w:val="clear"/>
              <w:spacing w:line="360" w:lineRule="auto"/>
              <w:rPr>
                <w:rFonts w:cs="仿宋"/>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84DE8">
            <w:pPr>
              <w:shd w:val="clear"/>
              <w:spacing w:line="360" w:lineRule="auto"/>
              <w:rPr>
                <w:rFonts w:cs="仿宋"/>
                <w:highlight w:val="none"/>
              </w:rPr>
            </w:pPr>
          </w:p>
        </w:tc>
        <w:tc>
          <w:tcPr>
            <w:tcW w:w="1097" w:type="dxa"/>
            <w:gridSpan w:val="2"/>
            <w:tcBorders>
              <w:top w:val="single" w:color="000000" w:sz="4" w:space="0"/>
              <w:left w:val="single" w:color="000000" w:sz="4" w:space="0"/>
              <w:bottom w:val="single" w:color="000000" w:sz="4" w:space="0"/>
              <w:right w:val="single" w:color="000000" w:sz="4" w:space="0"/>
            </w:tcBorders>
            <w:noWrap w:val="0"/>
            <w:vAlign w:val="center"/>
          </w:tcPr>
          <w:p w14:paraId="5B36C4D7">
            <w:pPr>
              <w:shd w:val="clear"/>
              <w:topLinePunct/>
              <w:spacing w:line="360" w:lineRule="auto"/>
              <w:ind w:left="-120" w:leftChars="-50" w:right="-120" w:rightChars="-50"/>
              <w:jc w:val="center"/>
              <w:rPr>
                <w:rFonts w:cs="仿宋"/>
                <w:highlight w:val="none"/>
              </w:rPr>
            </w:pPr>
            <w:r>
              <w:rPr>
                <w:rFonts w:hint="eastAsia" w:cs="仿宋"/>
                <w:highlight w:val="none"/>
              </w:rPr>
              <w:t>长期负债</w:t>
            </w:r>
          </w:p>
        </w:tc>
        <w:tc>
          <w:tcPr>
            <w:tcW w:w="732" w:type="dxa"/>
            <w:gridSpan w:val="2"/>
            <w:tcBorders>
              <w:top w:val="single" w:color="000000" w:sz="4" w:space="0"/>
              <w:left w:val="single" w:color="000000" w:sz="4" w:space="0"/>
              <w:bottom w:val="single" w:color="000000" w:sz="4" w:space="0"/>
              <w:right w:val="single" w:color="000000" w:sz="4" w:space="0"/>
            </w:tcBorders>
            <w:noWrap w:val="0"/>
            <w:vAlign w:val="center"/>
          </w:tcPr>
          <w:p w14:paraId="3EAC6309">
            <w:pPr>
              <w:shd w:val="clear"/>
              <w:topLinePunct/>
              <w:spacing w:line="360" w:lineRule="auto"/>
              <w:jc w:val="center"/>
              <w:rPr>
                <w:rFonts w:cs="仿宋"/>
                <w:highlight w:val="none"/>
              </w:rPr>
            </w:pPr>
          </w:p>
        </w:tc>
        <w:tc>
          <w:tcPr>
            <w:tcW w:w="923" w:type="dxa"/>
            <w:gridSpan w:val="2"/>
            <w:tcBorders>
              <w:top w:val="single" w:color="000000" w:sz="4" w:space="0"/>
              <w:left w:val="single" w:color="000000" w:sz="4" w:space="0"/>
              <w:bottom w:val="single" w:color="000000" w:sz="4" w:space="0"/>
              <w:right w:val="single" w:color="000000" w:sz="4" w:space="0"/>
            </w:tcBorders>
            <w:noWrap w:val="0"/>
            <w:vAlign w:val="center"/>
          </w:tcPr>
          <w:p w14:paraId="2E9739F7">
            <w:pPr>
              <w:shd w:val="clear"/>
              <w:topLinePunct/>
              <w:spacing w:line="360" w:lineRule="auto"/>
              <w:ind w:left="-120" w:leftChars="-50" w:right="-120" w:rightChars="-50"/>
              <w:jc w:val="center"/>
              <w:rPr>
                <w:rFonts w:cs="仿宋"/>
                <w:highlight w:val="none"/>
              </w:rPr>
            </w:pPr>
          </w:p>
        </w:tc>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14:paraId="14AAE773">
            <w:pPr>
              <w:shd w:val="clear"/>
              <w:topLinePunct/>
              <w:spacing w:line="360" w:lineRule="auto"/>
              <w:ind w:left="-190" w:leftChars="-79" w:right="-122" w:rightChars="-51"/>
              <w:jc w:val="center"/>
              <w:rPr>
                <w:rFonts w:cs="仿宋"/>
                <w:highlight w:val="none"/>
              </w:rPr>
            </w:pPr>
            <w:r>
              <w:rPr>
                <w:rFonts w:hint="eastAsia" w:cs="仿宋"/>
                <w:highlight w:val="none"/>
              </w:rPr>
              <w:t>流动负债</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28ABF91A">
            <w:pPr>
              <w:shd w:val="clear"/>
              <w:topLinePunct/>
              <w:spacing w:line="360" w:lineRule="auto"/>
              <w:ind w:left="-120" w:leftChars="-50" w:right="-120" w:rightChars="-50"/>
              <w:jc w:val="center"/>
              <w:rPr>
                <w:rFonts w:cs="仿宋"/>
                <w:highlight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21C9F51">
            <w:pPr>
              <w:shd w:val="clear"/>
              <w:topLinePunct/>
              <w:spacing w:line="360" w:lineRule="auto"/>
              <w:jc w:val="center"/>
              <w:rPr>
                <w:rFonts w:cs="仿宋"/>
                <w:highlight w:val="none"/>
              </w:rPr>
            </w:pPr>
          </w:p>
        </w:tc>
      </w:tr>
      <w:tr w14:paraId="2B20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8997B">
            <w:pPr>
              <w:shd w:val="clear"/>
              <w:spacing w:line="360" w:lineRule="auto"/>
              <w:rPr>
                <w:rFonts w:cs="仿宋"/>
                <w:highlight w:val="none"/>
              </w:rPr>
            </w:pPr>
          </w:p>
        </w:tc>
        <w:tc>
          <w:tcPr>
            <w:tcW w:w="7656" w:type="dxa"/>
            <w:gridSpan w:val="11"/>
            <w:tcBorders>
              <w:top w:val="single" w:color="000000" w:sz="4" w:space="0"/>
              <w:left w:val="single" w:color="000000" w:sz="4" w:space="0"/>
              <w:bottom w:val="single" w:color="000000" w:sz="4" w:space="0"/>
              <w:right w:val="single" w:color="000000" w:sz="4" w:space="0"/>
            </w:tcBorders>
            <w:noWrap w:val="0"/>
            <w:vAlign w:val="center"/>
          </w:tcPr>
          <w:p w14:paraId="43721724">
            <w:pPr>
              <w:shd w:val="clear"/>
              <w:topLinePunct/>
              <w:spacing w:line="360" w:lineRule="auto"/>
              <w:rPr>
                <w:rFonts w:cs="仿宋"/>
                <w:highlight w:val="none"/>
              </w:rPr>
            </w:pPr>
            <w:r>
              <w:rPr>
                <w:rFonts w:hint="eastAsia" w:cs="仿宋"/>
                <w:highlight w:val="none"/>
              </w:rPr>
              <w:t>经营范围：</w:t>
            </w:r>
          </w:p>
        </w:tc>
      </w:tr>
    </w:tbl>
    <w:p w14:paraId="67BD1EFE">
      <w:pPr>
        <w:shd w:val="clear"/>
        <w:topLinePunct/>
        <w:spacing w:line="360" w:lineRule="auto"/>
        <w:ind w:firstLine="480" w:firstLineChars="200"/>
        <w:rPr>
          <w:rFonts w:cs="仿宋"/>
          <w:highlight w:val="none"/>
        </w:rPr>
      </w:pPr>
      <w:r>
        <w:rPr>
          <w:rFonts w:hint="eastAsia" w:cs="仿宋"/>
          <w:highlight w:val="none"/>
        </w:rPr>
        <w:t>注：本表可</w:t>
      </w:r>
      <w:r>
        <w:rPr>
          <w:rFonts w:hint="eastAsia" w:cs="仿宋"/>
          <w:highlight w:val="none"/>
          <w:lang w:val="en-US" w:eastAsia="zh-CN"/>
        </w:rPr>
        <w:t>根据实际修改、</w:t>
      </w:r>
      <w:r>
        <w:rPr>
          <w:rFonts w:hint="eastAsia" w:cs="仿宋"/>
          <w:highlight w:val="none"/>
        </w:rPr>
        <w:t>增加</w:t>
      </w:r>
      <w:r>
        <w:rPr>
          <w:rFonts w:hint="eastAsia" w:cs="仿宋"/>
          <w:highlight w:val="none"/>
          <w:lang w:val="en-US" w:eastAsia="zh-CN"/>
        </w:rPr>
        <w:t>或</w:t>
      </w:r>
      <w:r>
        <w:rPr>
          <w:rFonts w:hint="eastAsia" w:cs="仿宋"/>
          <w:highlight w:val="none"/>
        </w:rPr>
        <w:t>扩展。</w:t>
      </w:r>
    </w:p>
    <w:p w14:paraId="4CD76598">
      <w:pPr>
        <w:shd w:val="clear"/>
        <w:topLinePunct/>
        <w:spacing w:line="360" w:lineRule="auto"/>
        <w:ind w:firstLine="480" w:firstLineChars="200"/>
        <w:outlineLvl w:val="1"/>
        <w:rPr>
          <w:rFonts w:ascii="仿宋" w:hAnsi="仿宋" w:eastAsia="仿宋"/>
          <w:sz w:val="30"/>
          <w:szCs w:val="30"/>
          <w:highlight w:val="none"/>
        </w:rPr>
      </w:pPr>
      <w:r>
        <w:rPr>
          <w:rFonts w:hint="eastAsia" w:cs="仿宋"/>
          <w:highlight w:val="none"/>
        </w:rPr>
        <w:t>附：</w:t>
      </w:r>
      <w:r>
        <w:rPr>
          <w:rFonts w:hint="eastAsia"/>
          <w:highlight w:val="none"/>
        </w:rPr>
        <w:t>包括但不限于：营业执照、资质证书、体系认证、资信等级、人员资格证书、业绩合同、获奖证书等的复印件，加盖公章。</w:t>
      </w:r>
      <w:bookmarkStart w:id="276" w:name="_Toc426317296"/>
      <w:r>
        <w:rPr>
          <w:rFonts w:hint="eastAsia" w:cs="仿宋"/>
          <w:bCs/>
          <w:highlight w:val="none"/>
        </w:rPr>
        <w:br w:type="page"/>
      </w:r>
      <w:r>
        <w:rPr>
          <w:rFonts w:hint="eastAsia" w:cs="仿宋"/>
          <w:bCs/>
          <w:highlight w:val="none"/>
          <w:lang w:val="en-US" w:eastAsia="zh-CN"/>
        </w:rPr>
        <w:t>6</w:t>
      </w:r>
      <w:r>
        <w:rPr>
          <w:rFonts w:hint="eastAsia" w:cs="仿宋"/>
          <w:bCs/>
          <w:highlight w:val="none"/>
        </w:rPr>
        <w:t>.2近3年财务状况表</w:t>
      </w:r>
    </w:p>
    <w:p w14:paraId="71D5245B">
      <w:pPr>
        <w:shd w:val="clear"/>
        <w:spacing w:line="360" w:lineRule="auto"/>
        <w:ind w:firstLine="480" w:firstLineChars="200"/>
        <w:rPr>
          <w:rFonts w:hint="eastAsia" w:cs="仿宋"/>
          <w:bCs/>
          <w:highlight w:val="none"/>
        </w:rPr>
      </w:pPr>
      <w:r>
        <w:rPr>
          <w:rFonts w:hint="eastAsia" w:cs="仿宋"/>
          <w:bCs/>
          <w:highlight w:val="none"/>
        </w:rPr>
        <w:t>投标人应根据投标人须知第3.5.2项的要求在本表后附相关证明材料。</w:t>
      </w:r>
    </w:p>
    <w:p w14:paraId="0EF5B88A">
      <w:pPr>
        <w:shd w:val="clear"/>
        <w:spacing w:line="360" w:lineRule="auto"/>
        <w:ind w:firstLine="480" w:firstLineChars="200"/>
        <w:rPr>
          <w:rFonts w:hint="eastAsia" w:cs="仿宋"/>
          <w:bCs/>
          <w:highlight w:val="none"/>
        </w:rPr>
      </w:pPr>
      <w:r>
        <w:rPr>
          <w:rFonts w:hint="eastAsia" w:cs="仿宋"/>
          <w:bCs/>
          <w:highlight w:val="none"/>
        </w:rPr>
        <w:t>对于可以现货供应的标准设备（非定制设备)，投标人的财务状况一般不宜作为审查投标人履约能力的因素。</w:t>
      </w:r>
    </w:p>
    <w:p w14:paraId="03ABDE5D">
      <w:pPr>
        <w:shd w:val="clear"/>
        <w:spacing w:line="360" w:lineRule="auto"/>
        <w:rPr>
          <w:rFonts w:cs="仿宋"/>
          <w:bCs/>
          <w:highlight w:val="none"/>
        </w:rPr>
      </w:pPr>
    </w:p>
    <w:p w14:paraId="3548A155">
      <w:pPr>
        <w:shd w:val="clear"/>
        <w:spacing w:line="360" w:lineRule="auto"/>
        <w:outlineLvl w:val="1"/>
        <w:rPr>
          <w:rStyle w:val="96"/>
          <w:rFonts w:cs="仿宋"/>
          <w:b w:val="0"/>
          <w:highlight w:val="none"/>
        </w:rPr>
      </w:pPr>
      <w:bookmarkStart w:id="277" w:name="_Toc21282"/>
      <w:r>
        <w:rPr>
          <w:rFonts w:hint="eastAsia" w:cs="仿宋"/>
          <w:bCs/>
          <w:highlight w:val="none"/>
          <w:lang w:val="en-US" w:eastAsia="zh-CN"/>
        </w:rPr>
        <w:t>6</w:t>
      </w:r>
      <w:r>
        <w:rPr>
          <w:rFonts w:hint="eastAsia" w:cs="仿宋"/>
          <w:bCs/>
          <w:highlight w:val="none"/>
        </w:rPr>
        <w:t>.3符合资格条件的业绩汇总表</w:t>
      </w:r>
      <w:bookmarkEnd w:id="276"/>
      <w:bookmarkEnd w:id="277"/>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1"/>
        <w:gridCol w:w="2036"/>
        <w:gridCol w:w="3053"/>
        <w:gridCol w:w="1276"/>
        <w:gridCol w:w="1701"/>
      </w:tblGrid>
      <w:tr w14:paraId="4A5EE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831" w:type="dxa"/>
            <w:noWrap w:val="0"/>
            <w:vAlign w:val="center"/>
          </w:tcPr>
          <w:p w14:paraId="2DB9DC5F">
            <w:pPr>
              <w:shd w:val="clear"/>
              <w:spacing w:line="360" w:lineRule="auto"/>
              <w:jc w:val="center"/>
              <w:rPr>
                <w:rFonts w:cs="仿宋"/>
                <w:highlight w:val="none"/>
              </w:rPr>
            </w:pPr>
            <w:r>
              <w:rPr>
                <w:rFonts w:hint="eastAsia" w:cs="仿宋"/>
                <w:highlight w:val="none"/>
              </w:rPr>
              <w:t>序号</w:t>
            </w:r>
          </w:p>
        </w:tc>
        <w:tc>
          <w:tcPr>
            <w:tcW w:w="2036" w:type="dxa"/>
            <w:noWrap w:val="0"/>
            <w:vAlign w:val="center"/>
          </w:tcPr>
          <w:p w14:paraId="0BB23EA6">
            <w:pPr>
              <w:shd w:val="clear"/>
              <w:spacing w:line="360" w:lineRule="auto"/>
              <w:jc w:val="center"/>
              <w:rPr>
                <w:rFonts w:cs="仿宋"/>
                <w:highlight w:val="none"/>
              </w:rPr>
            </w:pPr>
            <w:bookmarkStart w:id="278" w:name="_Toc351401531"/>
            <w:bookmarkStart w:id="279" w:name="_Toc351401530"/>
            <w:r>
              <w:rPr>
                <w:rFonts w:hint="eastAsia" w:cs="仿宋"/>
                <w:highlight w:val="none"/>
              </w:rPr>
              <w:t>项目业主</w:t>
            </w:r>
            <w:bookmarkEnd w:id="278"/>
            <w:r>
              <w:rPr>
                <w:rFonts w:hint="eastAsia" w:cs="仿宋"/>
                <w:highlight w:val="none"/>
              </w:rPr>
              <w:t>名称</w:t>
            </w:r>
            <w:bookmarkEnd w:id="279"/>
          </w:p>
        </w:tc>
        <w:tc>
          <w:tcPr>
            <w:tcW w:w="3053" w:type="dxa"/>
            <w:noWrap w:val="0"/>
            <w:vAlign w:val="center"/>
          </w:tcPr>
          <w:p w14:paraId="2E505250">
            <w:pPr>
              <w:shd w:val="clear"/>
              <w:spacing w:line="360" w:lineRule="auto"/>
              <w:jc w:val="center"/>
              <w:rPr>
                <w:rFonts w:hint="eastAsia" w:eastAsia="宋体" w:cs="仿宋"/>
                <w:highlight w:val="none"/>
                <w:lang w:eastAsia="zh-CN"/>
              </w:rPr>
            </w:pPr>
            <w:r>
              <w:rPr>
                <w:rFonts w:hint="eastAsia" w:cs="仿宋"/>
                <w:highlight w:val="none"/>
                <w:lang w:val="en-US" w:eastAsia="zh-CN"/>
              </w:rPr>
              <w:t>合同名称</w:t>
            </w:r>
          </w:p>
        </w:tc>
        <w:tc>
          <w:tcPr>
            <w:tcW w:w="1276" w:type="dxa"/>
            <w:noWrap w:val="0"/>
            <w:vAlign w:val="center"/>
          </w:tcPr>
          <w:p w14:paraId="27BAD5AB">
            <w:pPr>
              <w:shd w:val="clear"/>
              <w:spacing w:line="360" w:lineRule="auto"/>
              <w:jc w:val="center"/>
              <w:rPr>
                <w:rFonts w:cs="仿宋"/>
                <w:highlight w:val="none"/>
              </w:rPr>
            </w:pPr>
          </w:p>
        </w:tc>
        <w:tc>
          <w:tcPr>
            <w:tcW w:w="1701" w:type="dxa"/>
            <w:noWrap w:val="0"/>
            <w:vAlign w:val="center"/>
          </w:tcPr>
          <w:p w14:paraId="5F1F94FF">
            <w:pPr>
              <w:shd w:val="clear"/>
              <w:spacing w:line="360" w:lineRule="auto"/>
              <w:jc w:val="center"/>
              <w:rPr>
                <w:rFonts w:cs="仿宋"/>
                <w:highlight w:val="none"/>
              </w:rPr>
            </w:pPr>
            <w:r>
              <w:rPr>
                <w:rFonts w:hint="eastAsia" w:cs="仿宋"/>
                <w:highlight w:val="none"/>
              </w:rPr>
              <w:t>签订日期</w:t>
            </w:r>
          </w:p>
          <w:p w14:paraId="4C1C06C3">
            <w:pPr>
              <w:shd w:val="clear"/>
              <w:spacing w:line="360" w:lineRule="auto"/>
              <w:jc w:val="center"/>
              <w:rPr>
                <w:rFonts w:cs="仿宋"/>
                <w:highlight w:val="none"/>
              </w:rPr>
            </w:pPr>
            <w:r>
              <w:rPr>
                <w:rFonts w:hint="eastAsia" w:cs="仿宋"/>
                <w:highlight w:val="none"/>
              </w:rPr>
              <w:t>（年月）</w:t>
            </w:r>
          </w:p>
        </w:tc>
      </w:tr>
      <w:tr w14:paraId="64B91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831" w:type="dxa"/>
            <w:noWrap w:val="0"/>
            <w:vAlign w:val="center"/>
          </w:tcPr>
          <w:p w14:paraId="710A77B7">
            <w:pPr>
              <w:shd w:val="clear"/>
              <w:spacing w:line="360" w:lineRule="auto"/>
              <w:jc w:val="center"/>
              <w:rPr>
                <w:rFonts w:cs="仿宋"/>
                <w:highlight w:val="none"/>
              </w:rPr>
            </w:pPr>
            <w:r>
              <w:rPr>
                <w:rFonts w:hint="eastAsia" w:cs="仿宋"/>
                <w:highlight w:val="none"/>
              </w:rPr>
              <w:t>1</w:t>
            </w:r>
          </w:p>
        </w:tc>
        <w:tc>
          <w:tcPr>
            <w:tcW w:w="2036" w:type="dxa"/>
            <w:noWrap w:val="0"/>
            <w:vAlign w:val="center"/>
          </w:tcPr>
          <w:p w14:paraId="6EB906D4">
            <w:pPr>
              <w:pStyle w:val="70"/>
              <w:shd w:val="clear"/>
              <w:spacing w:beforeLines="0" w:line="360" w:lineRule="auto"/>
              <w:outlineLvl w:val="9"/>
              <w:rPr>
                <w:rFonts w:ascii="宋体" w:hAnsi="宋体" w:cs="仿宋"/>
                <w:b w:val="0"/>
                <w:sz w:val="24"/>
                <w:szCs w:val="24"/>
                <w:highlight w:val="none"/>
                <w:lang w:val="en-US" w:eastAsia="zh-CN"/>
              </w:rPr>
            </w:pPr>
          </w:p>
        </w:tc>
        <w:tc>
          <w:tcPr>
            <w:tcW w:w="3053" w:type="dxa"/>
            <w:noWrap w:val="0"/>
            <w:vAlign w:val="center"/>
          </w:tcPr>
          <w:p w14:paraId="7EF75745">
            <w:pPr>
              <w:pStyle w:val="70"/>
              <w:shd w:val="clear"/>
              <w:spacing w:beforeLines="0" w:line="360" w:lineRule="auto"/>
              <w:outlineLvl w:val="9"/>
              <w:rPr>
                <w:rFonts w:ascii="宋体" w:hAnsi="宋体" w:cs="仿宋"/>
                <w:b w:val="0"/>
                <w:sz w:val="24"/>
                <w:szCs w:val="24"/>
                <w:highlight w:val="none"/>
                <w:lang w:val="en-US" w:eastAsia="zh-CN"/>
              </w:rPr>
            </w:pPr>
          </w:p>
        </w:tc>
        <w:tc>
          <w:tcPr>
            <w:tcW w:w="1276" w:type="dxa"/>
            <w:noWrap w:val="0"/>
            <w:vAlign w:val="center"/>
          </w:tcPr>
          <w:p w14:paraId="69C9E154">
            <w:pPr>
              <w:pStyle w:val="70"/>
              <w:shd w:val="clear"/>
              <w:spacing w:beforeLines="0" w:line="360" w:lineRule="auto"/>
              <w:outlineLvl w:val="9"/>
              <w:rPr>
                <w:rFonts w:ascii="宋体" w:hAnsi="宋体" w:cs="仿宋"/>
                <w:b w:val="0"/>
                <w:sz w:val="24"/>
                <w:szCs w:val="24"/>
                <w:highlight w:val="none"/>
                <w:lang w:val="en-US" w:eastAsia="zh-CN"/>
              </w:rPr>
            </w:pPr>
          </w:p>
        </w:tc>
        <w:tc>
          <w:tcPr>
            <w:tcW w:w="1701" w:type="dxa"/>
            <w:noWrap w:val="0"/>
            <w:vAlign w:val="center"/>
          </w:tcPr>
          <w:p w14:paraId="6CD022BB">
            <w:pPr>
              <w:pStyle w:val="70"/>
              <w:shd w:val="clear"/>
              <w:spacing w:beforeLines="0" w:line="360" w:lineRule="auto"/>
              <w:outlineLvl w:val="9"/>
              <w:rPr>
                <w:rFonts w:ascii="宋体" w:hAnsi="宋体" w:cs="仿宋"/>
                <w:b w:val="0"/>
                <w:sz w:val="24"/>
                <w:szCs w:val="24"/>
                <w:highlight w:val="none"/>
                <w:lang w:val="en-US" w:eastAsia="zh-CN"/>
              </w:rPr>
            </w:pPr>
          </w:p>
        </w:tc>
      </w:tr>
      <w:tr w14:paraId="0A680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31" w:type="dxa"/>
            <w:noWrap w:val="0"/>
            <w:vAlign w:val="center"/>
          </w:tcPr>
          <w:p w14:paraId="57D8B0BB">
            <w:pPr>
              <w:shd w:val="clear"/>
              <w:spacing w:line="360" w:lineRule="auto"/>
              <w:jc w:val="center"/>
              <w:rPr>
                <w:rFonts w:cs="仿宋"/>
                <w:highlight w:val="none"/>
              </w:rPr>
            </w:pPr>
            <w:r>
              <w:rPr>
                <w:rFonts w:hint="eastAsia" w:cs="仿宋"/>
                <w:highlight w:val="none"/>
              </w:rPr>
              <w:t>2</w:t>
            </w:r>
          </w:p>
        </w:tc>
        <w:tc>
          <w:tcPr>
            <w:tcW w:w="2036" w:type="dxa"/>
            <w:noWrap w:val="0"/>
            <w:vAlign w:val="center"/>
          </w:tcPr>
          <w:p w14:paraId="631823A0">
            <w:pPr>
              <w:pStyle w:val="70"/>
              <w:shd w:val="clear"/>
              <w:spacing w:beforeLines="0" w:line="360" w:lineRule="auto"/>
              <w:outlineLvl w:val="9"/>
              <w:rPr>
                <w:rFonts w:ascii="宋体" w:hAnsi="宋体" w:cs="仿宋"/>
                <w:b w:val="0"/>
                <w:sz w:val="24"/>
                <w:szCs w:val="24"/>
                <w:highlight w:val="none"/>
                <w:lang w:val="en-US" w:eastAsia="zh-CN"/>
              </w:rPr>
            </w:pPr>
          </w:p>
        </w:tc>
        <w:tc>
          <w:tcPr>
            <w:tcW w:w="3053" w:type="dxa"/>
            <w:noWrap w:val="0"/>
            <w:vAlign w:val="center"/>
          </w:tcPr>
          <w:p w14:paraId="75EE2619">
            <w:pPr>
              <w:pStyle w:val="70"/>
              <w:shd w:val="clear"/>
              <w:spacing w:beforeLines="0" w:line="360" w:lineRule="auto"/>
              <w:outlineLvl w:val="9"/>
              <w:rPr>
                <w:rFonts w:ascii="宋体" w:hAnsi="宋体" w:cs="仿宋"/>
                <w:b w:val="0"/>
                <w:sz w:val="24"/>
                <w:szCs w:val="24"/>
                <w:highlight w:val="none"/>
                <w:lang w:val="en-US" w:eastAsia="zh-CN"/>
              </w:rPr>
            </w:pPr>
          </w:p>
        </w:tc>
        <w:tc>
          <w:tcPr>
            <w:tcW w:w="1276" w:type="dxa"/>
            <w:noWrap w:val="0"/>
            <w:vAlign w:val="center"/>
          </w:tcPr>
          <w:p w14:paraId="6590B4E1">
            <w:pPr>
              <w:pStyle w:val="70"/>
              <w:shd w:val="clear"/>
              <w:spacing w:beforeLines="0" w:line="360" w:lineRule="auto"/>
              <w:outlineLvl w:val="9"/>
              <w:rPr>
                <w:rFonts w:ascii="宋体" w:hAnsi="宋体" w:cs="仿宋"/>
                <w:b w:val="0"/>
                <w:sz w:val="24"/>
                <w:szCs w:val="24"/>
                <w:highlight w:val="none"/>
                <w:lang w:val="en-US" w:eastAsia="zh-CN"/>
              </w:rPr>
            </w:pPr>
          </w:p>
        </w:tc>
        <w:tc>
          <w:tcPr>
            <w:tcW w:w="1701" w:type="dxa"/>
            <w:noWrap w:val="0"/>
            <w:vAlign w:val="center"/>
          </w:tcPr>
          <w:p w14:paraId="44AD8CA1">
            <w:pPr>
              <w:pStyle w:val="70"/>
              <w:shd w:val="clear"/>
              <w:spacing w:beforeLines="0" w:line="360" w:lineRule="auto"/>
              <w:outlineLvl w:val="9"/>
              <w:rPr>
                <w:rFonts w:ascii="宋体" w:hAnsi="宋体" w:cs="仿宋"/>
                <w:b w:val="0"/>
                <w:sz w:val="24"/>
                <w:szCs w:val="24"/>
                <w:highlight w:val="none"/>
                <w:lang w:val="en-US" w:eastAsia="zh-CN"/>
              </w:rPr>
            </w:pPr>
          </w:p>
        </w:tc>
      </w:tr>
      <w:tr w14:paraId="17199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831" w:type="dxa"/>
            <w:noWrap w:val="0"/>
            <w:vAlign w:val="center"/>
          </w:tcPr>
          <w:p w14:paraId="30AD67F0">
            <w:pPr>
              <w:shd w:val="clear"/>
              <w:spacing w:line="360" w:lineRule="auto"/>
              <w:jc w:val="center"/>
              <w:rPr>
                <w:rFonts w:cs="仿宋"/>
                <w:highlight w:val="none"/>
              </w:rPr>
            </w:pPr>
            <w:r>
              <w:rPr>
                <w:rFonts w:hint="eastAsia" w:cs="仿宋"/>
                <w:highlight w:val="none"/>
              </w:rPr>
              <w:t>3</w:t>
            </w:r>
          </w:p>
        </w:tc>
        <w:tc>
          <w:tcPr>
            <w:tcW w:w="2036" w:type="dxa"/>
            <w:noWrap w:val="0"/>
            <w:vAlign w:val="center"/>
          </w:tcPr>
          <w:p w14:paraId="3FDCF2EF">
            <w:pPr>
              <w:pStyle w:val="70"/>
              <w:shd w:val="clear"/>
              <w:spacing w:beforeLines="0" w:line="360" w:lineRule="auto"/>
              <w:outlineLvl w:val="9"/>
              <w:rPr>
                <w:rFonts w:ascii="宋体" w:hAnsi="宋体" w:cs="仿宋"/>
                <w:b w:val="0"/>
                <w:sz w:val="24"/>
                <w:szCs w:val="24"/>
                <w:highlight w:val="none"/>
                <w:lang w:val="en-US" w:eastAsia="zh-CN"/>
              </w:rPr>
            </w:pPr>
          </w:p>
        </w:tc>
        <w:tc>
          <w:tcPr>
            <w:tcW w:w="3053" w:type="dxa"/>
            <w:noWrap w:val="0"/>
            <w:vAlign w:val="center"/>
          </w:tcPr>
          <w:p w14:paraId="62C1A026">
            <w:pPr>
              <w:pStyle w:val="70"/>
              <w:shd w:val="clear"/>
              <w:spacing w:beforeLines="0" w:line="360" w:lineRule="auto"/>
              <w:outlineLvl w:val="9"/>
              <w:rPr>
                <w:rFonts w:ascii="宋体" w:hAnsi="宋体" w:cs="仿宋"/>
                <w:b w:val="0"/>
                <w:sz w:val="24"/>
                <w:szCs w:val="24"/>
                <w:highlight w:val="none"/>
                <w:lang w:val="en-US" w:eastAsia="zh-CN"/>
              </w:rPr>
            </w:pPr>
          </w:p>
        </w:tc>
        <w:tc>
          <w:tcPr>
            <w:tcW w:w="1276" w:type="dxa"/>
            <w:noWrap w:val="0"/>
            <w:vAlign w:val="center"/>
          </w:tcPr>
          <w:p w14:paraId="661DB13F">
            <w:pPr>
              <w:pStyle w:val="70"/>
              <w:shd w:val="clear"/>
              <w:spacing w:beforeLines="0" w:line="360" w:lineRule="auto"/>
              <w:outlineLvl w:val="9"/>
              <w:rPr>
                <w:rFonts w:ascii="宋体" w:hAnsi="宋体" w:cs="仿宋"/>
                <w:b w:val="0"/>
                <w:sz w:val="24"/>
                <w:szCs w:val="24"/>
                <w:highlight w:val="none"/>
                <w:lang w:val="en-US" w:eastAsia="zh-CN"/>
              </w:rPr>
            </w:pPr>
          </w:p>
        </w:tc>
        <w:tc>
          <w:tcPr>
            <w:tcW w:w="1701" w:type="dxa"/>
            <w:noWrap w:val="0"/>
            <w:vAlign w:val="center"/>
          </w:tcPr>
          <w:p w14:paraId="581BE8B2">
            <w:pPr>
              <w:pStyle w:val="70"/>
              <w:shd w:val="clear"/>
              <w:spacing w:beforeLines="0" w:line="360" w:lineRule="auto"/>
              <w:outlineLvl w:val="9"/>
              <w:rPr>
                <w:rFonts w:ascii="宋体" w:hAnsi="宋体" w:cs="仿宋"/>
                <w:b w:val="0"/>
                <w:sz w:val="24"/>
                <w:szCs w:val="24"/>
                <w:highlight w:val="none"/>
                <w:lang w:val="en-US" w:eastAsia="zh-CN"/>
              </w:rPr>
            </w:pPr>
          </w:p>
        </w:tc>
      </w:tr>
      <w:tr w14:paraId="3E6D0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31" w:type="dxa"/>
            <w:noWrap w:val="0"/>
            <w:vAlign w:val="center"/>
          </w:tcPr>
          <w:p w14:paraId="53AC6636">
            <w:pPr>
              <w:shd w:val="clear"/>
              <w:spacing w:line="360" w:lineRule="auto"/>
              <w:jc w:val="center"/>
              <w:rPr>
                <w:rFonts w:cs="仿宋"/>
                <w:highlight w:val="none"/>
              </w:rPr>
            </w:pPr>
            <w:r>
              <w:rPr>
                <w:rFonts w:hint="eastAsia" w:cs="仿宋"/>
                <w:highlight w:val="none"/>
              </w:rPr>
              <w:t>……</w:t>
            </w:r>
          </w:p>
        </w:tc>
        <w:tc>
          <w:tcPr>
            <w:tcW w:w="2036" w:type="dxa"/>
            <w:noWrap w:val="0"/>
            <w:vAlign w:val="center"/>
          </w:tcPr>
          <w:p w14:paraId="09604670">
            <w:pPr>
              <w:pStyle w:val="70"/>
              <w:shd w:val="clear"/>
              <w:spacing w:beforeLines="0" w:line="360" w:lineRule="auto"/>
              <w:outlineLvl w:val="9"/>
              <w:rPr>
                <w:rFonts w:ascii="宋体" w:hAnsi="宋体" w:cs="仿宋"/>
                <w:b w:val="0"/>
                <w:sz w:val="24"/>
                <w:szCs w:val="24"/>
                <w:highlight w:val="none"/>
                <w:lang w:val="en-US" w:eastAsia="zh-CN"/>
              </w:rPr>
            </w:pPr>
          </w:p>
        </w:tc>
        <w:tc>
          <w:tcPr>
            <w:tcW w:w="3053" w:type="dxa"/>
            <w:noWrap w:val="0"/>
            <w:vAlign w:val="center"/>
          </w:tcPr>
          <w:p w14:paraId="508A897C">
            <w:pPr>
              <w:pStyle w:val="70"/>
              <w:shd w:val="clear"/>
              <w:spacing w:beforeLines="0" w:line="360" w:lineRule="auto"/>
              <w:outlineLvl w:val="9"/>
              <w:rPr>
                <w:rFonts w:ascii="宋体" w:hAnsi="宋体" w:cs="仿宋"/>
                <w:b w:val="0"/>
                <w:sz w:val="24"/>
                <w:szCs w:val="24"/>
                <w:highlight w:val="none"/>
                <w:lang w:val="en-US" w:eastAsia="zh-CN"/>
              </w:rPr>
            </w:pPr>
          </w:p>
        </w:tc>
        <w:tc>
          <w:tcPr>
            <w:tcW w:w="1276" w:type="dxa"/>
            <w:noWrap w:val="0"/>
            <w:vAlign w:val="center"/>
          </w:tcPr>
          <w:p w14:paraId="010BAEB3">
            <w:pPr>
              <w:pStyle w:val="70"/>
              <w:shd w:val="clear"/>
              <w:spacing w:beforeLines="0" w:line="360" w:lineRule="auto"/>
              <w:outlineLvl w:val="9"/>
              <w:rPr>
                <w:rFonts w:ascii="宋体" w:hAnsi="宋体" w:cs="仿宋"/>
                <w:b w:val="0"/>
                <w:sz w:val="24"/>
                <w:szCs w:val="24"/>
                <w:highlight w:val="none"/>
                <w:lang w:val="en-US" w:eastAsia="zh-CN"/>
              </w:rPr>
            </w:pPr>
          </w:p>
        </w:tc>
        <w:tc>
          <w:tcPr>
            <w:tcW w:w="1701" w:type="dxa"/>
            <w:noWrap w:val="0"/>
            <w:vAlign w:val="center"/>
          </w:tcPr>
          <w:p w14:paraId="56DDDB27">
            <w:pPr>
              <w:pStyle w:val="70"/>
              <w:shd w:val="clear"/>
              <w:spacing w:beforeLines="0" w:line="360" w:lineRule="auto"/>
              <w:outlineLvl w:val="9"/>
              <w:rPr>
                <w:rFonts w:ascii="宋体" w:hAnsi="宋体" w:cs="仿宋"/>
                <w:b w:val="0"/>
                <w:sz w:val="24"/>
                <w:szCs w:val="24"/>
                <w:highlight w:val="none"/>
                <w:lang w:val="en-US" w:eastAsia="zh-CN"/>
              </w:rPr>
            </w:pPr>
          </w:p>
        </w:tc>
      </w:tr>
    </w:tbl>
    <w:p w14:paraId="42CF9755">
      <w:pPr>
        <w:shd w:val="clear"/>
        <w:topLinePunct/>
        <w:spacing w:line="360" w:lineRule="auto"/>
        <w:ind w:firstLine="482" w:firstLineChars="200"/>
        <w:rPr>
          <w:rFonts w:cs="仿宋"/>
          <w:b/>
          <w:bCs/>
          <w:highlight w:val="none"/>
        </w:rPr>
      </w:pPr>
    </w:p>
    <w:p w14:paraId="7B54B1B2">
      <w:pPr>
        <w:shd w:val="clear"/>
        <w:topLinePunct/>
        <w:spacing w:line="360" w:lineRule="auto"/>
        <w:ind w:firstLine="482" w:firstLineChars="200"/>
        <w:rPr>
          <w:rFonts w:cs="仿宋"/>
          <w:b/>
          <w:bCs/>
          <w:highlight w:val="none"/>
        </w:rPr>
      </w:pPr>
      <w:r>
        <w:rPr>
          <w:rFonts w:hint="eastAsia" w:cs="仿宋"/>
          <w:b/>
          <w:bCs/>
          <w:highlight w:val="none"/>
        </w:rPr>
        <w:t>注：提供的业绩要附合同复印件作为证明。</w:t>
      </w:r>
    </w:p>
    <w:p w14:paraId="346F6C81">
      <w:pPr>
        <w:shd w:val="clear"/>
        <w:spacing w:line="360" w:lineRule="auto"/>
        <w:rPr>
          <w:rFonts w:cs="仿宋"/>
          <w:highlight w:val="none"/>
        </w:rPr>
      </w:pPr>
    </w:p>
    <w:p w14:paraId="0B286508">
      <w:pPr>
        <w:shd w:val="clear"/>
        <w:spacing w:line="360" w:lineRule="auto"/>
        <w:ind w:firstLine="4200" w:firstLineChars="1750"/>
        <w:rPr>
          <w:rFonts w:cs="仿宋"/>
          <w:highlight w:val="none"/>
        </w:rPr>
      </w:pPr>
      <w:r>
        <w:rPr>
          <w:rFonts w:hint="eastAsia" w:cs="仿宋"/>
          <w:highlight w:val="none"/>
        </w:rPr>
        <w:t>投标人：（盖单位章）</w:t>
      </w:r>
    </w:p>
    <w:p w14:paraId="3B8332CE">
      <w:pPr>
        <w:shd w:val="clear"/>
        <w:spacing w:line="360" w:lineRule="auto"/>
        <w:ind w:firstLine="4200" w:firstLineChars="1750"/>
        <w:rPr>
          <w:rFonts w:cs="仿宋"/>
          <w:highlight w:val="none"/>
        </w:rPr>
      </w:pPr>
      <w:r>
        <w:rPr>
          <w:rFonts w:hint="eastAsia" w:cs="仿宋"/>
          <w:highlight w:val="none"/>
        </w:rPr>
        <w:t>法定代表人或其委托代理人：（签字）</w:t>
      </w:r>
    </w:p>
    <w:p w14:paraId="775EE82D">
      <w:pPr>
        <w:shd w:val="clear"/>
        <w:spacing w:line="360" w:lineRule="auto"/>
        <w:ind w:firstLine="4200" w:firstLineChars="1750"/>
        <w:rPr>
          <w:rFonts w:hint="eastAsia" w:cs="仿宋"/>
          <w:highlight w:val="none"/>
        </w:rPr>
      </w:pPr>
      <w:r>
        <w:rPr>
          <w:rFonts w:hint="eastAsia" w:cs="仿宋"/>
          <w:highlight w:val="none"/>
        </w:rPr>
        <w:t>年月日</w:t>
      </w:r>
    </w:p>
    <w:p w14:paraId="6DB7BFBD">
      <w:pPr>
        <w:shd w:val="clear"/>
        <w:spacing w:line="360" w:lineRule="auto"/>
        <w:outlineLvl w:val="1"/>
        <w:rPr>
          <w:rFonts w:hint="eastAsia" w:cs="仿宋"/>
          <w:bCs/>
          <w:highlight w:val="none"/>
        </w:rPr>
      </w:pPr>
      <w:bookmarkStart w:id="280" w:name="_Toc20998"/>
      <w:r>
        <w:rPr>
          <w:rFonts w:hint="eastAsia" w:cs="仿宋"/>
          <w:bCs/>
          <w:highlight w:val="none"/>
          <w:lang w:val="en-US" w:eastAsia="zh-CN"/>
        </w:rPr>
        <w:t>6</w:t>
      </w:r>
      <w:r>
        <w:rPr>
          <w:rFonts w:hint="eastAsia" w:cs="仿宋"/>
          <w:bCs/>
          <w:highlight w:val="none"/>
        </w:rPr>
        <w:t>.4近年发生的诉讼及仲裁情况</w:t>
      </w:r>
      <w:bookmarkEnd w:id="280"/>
    </w:p>
    <w:p w14:paraId="4A954315">
      <w:pPr>
        <w:shd w:val="clear"/>
        <w:spacing w:line="360" w:lineRule="auto"/>
        <w:ind w:firstLine="480" w:firstLineChars="200"/>
        <w:rPr>
          <w:rFonts w:hint="eastAsia" w:cs="仿宋"/>
          <w:bCs/>
          <w:highlight w:val="none"/>
        </w:rPr>
        <w:sectPr>
          <w:footerReference r:id="rId8" w:type="default"/>
          <w:pgSz w:w="11907" w:h="16840"/>
          <w:pgMar w:top="1304" w:right="1304" w:bottom="1304" w:left="1304" w:header="850" w:footer="992" w:gutter="0"/>
          <w:pgNumType w:fmt="decimal"/>
          <w:cols w:space="720" w:num="1"/>
          <w:docGrid w:linePitch="360" w:charSpace="0"/>
        </w:sectPr>
      </w:pPr>
      <w:r>
        <w:rPr>
          <w:rFonts w:hint="eastAsia" w:cs="仿宋"/>
          <w:bCs/>
          <w:highlight w:val="none"/>
        </w:rPr>
        <w:t>注：投标人应根据投标人须知第3.5.4项的要求附相关证明材料。</w:t>
      </w:r>
    </w:p>
    <w:p w14:paraId="3D21A9A7">
      <w:pPr>
        <w:pStyle w:val="2"/>
        <w:shd w:val="clear"/>
        <w:ind w:left="480" w:firstLine="480"/>
        <w:rPr>
          <w:highlight w:val="none"/>
        </w:rPr>
      </w:pPr>
    </w:p>
    <w:p w14:paraId="495A4D26">
      <w:pPr>
        <w:pStyle w:val="59"/>
        <w:shd w:val="clear"/>
        <w:ind w:left="851" w:leftChars="0" w:hanging="851" w:firstLineChars="0"/>
        <w:outlineLvl w:val="0"/>
        <w:rPr>
          <w:highlight w:val="none"/>
        </w:rPr>
      </w:pPr>
      <w:bookmarkStart w:id="281" w:name="_Toc4907"/>
      <w:bookmarkStart w:id="282" w:name="_Toc1630_WPSOffice_Level1"/>
      <w:bookmarkStart w:id="283" w:name="_Toc508871759"/>
      <w:bookmarkStart w:id="284" w:name="_Toc391556619"/>
      <w:bookmarkStart w:id="285" w:name="_Toc352160855"/>
      <w:bookmarkStart w:id="286" w:name="_Toc506105880"/>
      <w:r>
        <w:rPr>
          <w:rFonts w:hint="eastAsia"/>
          <w:highlight w:val="none"/>
        </w:rPr>
        <w:t>7、商务或技术偏差表</w:t>
      </w:r>
      <w:bookmarkEnd w:id="281"/>
      <w:bookmarkEnd w:id="282"/>
      <w:bookmarkEnd w:id="283"/>
    </w:p>
    <w:p w14:paraId="16CB04A8">
      <w:pPr>
        <w:shd w:val="clear"/>
        <w:spacing w:line="360" w:lineRule="auto"/>
        <w:jc w:val="center"/>
        <w:rPr>
          <w:rFonts w:cs="仿宋"/>
          <w:b/>
          <w:highlight w:val="none"/>
        </w:rPr>
      </w:pPr>
      <w:r>
        <w:rPr>
          <w:rFonts w:hint="eastAsia" w:cs="仿宋"/>
          <w:b/>
          <w:highlight w:val="none"/>
        </w:rPr>
        <w:t>商务或技术偏差表</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1331"/>
        <w:gridCol w:w="992"/>
        <w:gridCol w:w="2551"/>
        <w:gridCol w:w="1985"/>
        <w:gridCol w:w="1417"/>
      </w:tblGrid>
      <w:tr w14:paraId="71C5B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restart"/>
            <w:tcBorders>
              <w:top w:val="single" w:color="000000" w:sz="4" w:space="0"/>
              <w:left w:val="single" w:color="000000" w:sz="4" w:space="0"/>
              <w:bottom w:val="single" w:color="000000" w:sz="4" w:space="0"/>
              <w:right w:val="single" w:color="000000" w:sz="4" w:space="0"/>
            </w:tcBorders>
            <w:noWrap w:val="0"/>
            <w:vAlign w:val="center"/>
          </w:tcPr>
          <w:p w14:paraId="022C6121">
            <w:pPr>
              <w:shd w:val="clear"/>
              <w:overflowPunct w:val="0"/>
              <w:topLinePunct/>
              <w:spacing w:line="360" w:lineRule="auto"/>
              <w:ind w:right="14"/>
              <w:jc w:val="center"/>
              <w:rPr>
                <w:rFonts w:ascii="仿宋" w:hAnsi="仿宋" w:eastAsia="仿宋" w:cs="仿宋"/>
                <w:position w:val="-9"/>
                <w:highlight w:val="none"/>
              </w:rPr>
            </w:pPr>
            <w:r>
              <w:rPr>
                <w:rFonts w:hint="eastAsia" w:ascii="仿宋" w:hAnsi="仿宋" w:eastAsia="仿宋" w:cs="仿宋"/>
                <w:position w:val="-9"/>
                <w:highlight w:val="none"/>
              </w:rPr>
              <w:t>商务或技术偏差</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6391BAE">
            <w:pPr>
              <w:shd w:val="clear"/>
              <w:overflowPunct w:val="0"/>
              <w:topLinePunct/>
              <w:spacing w:line="360" w:lineRule="auto"/>
              <w:ind w:right="14"/>
              <w:jc w:val="center"/>
              <w:rPr>
                <w:rFonts w:ascii="仿宋" w:hAnsi="仿宋" w:eastAsia="仿宋" w:cs="仿宋"/>
                <w:position w:val="-9"/>
                <w:highlight w:val="none"/>
              </w:rPr>
            </w:pPr>
            <w:r>
              <w:rPr>
                <w:rFonts w:hint="eastAsia" w:ascii="仿宋" w:hAnsi="仿宋" w:eastAsia="仿宋" w:cs="仿宋"/>
                <w:position w:val="-9"/>
                <w:highlight w:val="none"/>
              </w:rPr>
              <w:t>条目</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7CF6D7C">
            <w:pPr>
              <w:shd w:val="clear"/>
              <w:overflowPunct w:val="0"/>
              <w:topLinePunct/>
              <w:spacing w:line="360" w:lineRule="auto"/>
              <w:ind w:right="14"/>
              <w:jc w:val="center"/>
              <w:rPr>
                <w:rFonts w:ascii="仿宋" w:hAnsi="仿宋" w:eastAsia="仿宋" w:cs="仿宋"/>
                <w:position w:val="-9"/>
                <w:highlight w:val="none"/>
              </w:rPr>
            </w:pPr>
            <w:r>
              <w:rPr>
                <w:rFonts w:hint="eastAsia" w:ascii="仿宋" w:hAnsi="仿宋" w:eastAsia="仿宋" w:cs="仿宋"/>
                <w:position w:val="-9"/>
                <w:highlight w:val="none"/>
              </w:rPr>
              <w:t>页码</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6ACB2AC5">
            <w:pPr>
              <w:shd w:val="clear"/>
              <w:overflowPunct w:val="0"/>
              <w:topLinePunct/>
              <w:spacing w:line="360" w:lineRule="auto"/>
              <w:ind w:right="14"/>
              <w:jc w:val="center"/>
              <w:rPr>
                <w:rFonts w:ascii="仿宋" w:hAnsi="仿宋" w:eastAsia="仿宋" w:cs="仿宋"/>
                <w:position w:val="-9"/>
                <w:highlight w:val="none"/>
              </w:rPr>
            </w:pPr>
            <w:r>
              <w:rPr>
                <w:rFonts w:hint="eastAsia" w:ascii="仿宋" w:hAnsi="仿宋" w:eastAsia="仿宋" w:cs="仿宋"/>
                <w:position w:val="-9"/>
                <w:highlight w:val="none"/>
              </w:rPr>
              <w:t>招标文件规定</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71714051">
            <w:pPr>
              <w:shd w:val="clear"/>
              <w:overflowPunct w:val="0"/>
              <w:topLinePunct/>
              <w:spacing w:line="360" w:lineRule="auto"/>
              <w:ind w:right="14"/>
              <w:jc w:val="center"/>
              <w:rPr>
                <w:rFonts w:ascii="仿宋" w:hAnsi="仿宋" w:eastAsia="仿宋" w:cs="仿宋"/>
                <w:position w:val="-9"/>
                <w:highlight w:val="none"/>
              </w:rPr>
            </w:pPr>
            <w:r>
              <w:rPr>
                <w:rFonts w:hint="eastAsia" w:ascii="仿宋" w:hAnsi="仿宋" w:eastAsia="仿宋" w:cs="仿宋"/>
                <w:position w:val="-9"/>
                <w:highlight w:val="none"/>
              </w:rPr>
              <w:t>偏差</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9ED6CD4">
            <w:pPr>
              <w:shd w:val="clear"/>
              <w:overflowPunct w:val="0"/>
              <w:topLinePunct/>
              <w:spacing w:line="360" w:lineRule="auto"/>
              <w:ind w:right="14"/>
              <w:jc w:val="center"/>
              <w:rPr>
                <w:rFonts w:ascii="仿宋" w:hAnsi="仿宋" w:eastAsia="仿宋" w:cs="仿宋"/>
                <w:position w:val="-9"/>
                <w:highlight w:val="none"/>
              </w:rPr>
            </w:pPr>
            <w:r>
              <w:rPr>
                <w:rFonts w:hint="eastAsia" w:ascii="仿宋" w:hAnsi="仿宋" w:eastAsia="仿宋" w:cs="仿宋"/>
                <w:position w:val="-9"/>
                <w:highlight w:val="none"/>
              </w:rPr>
              <w:t>备注</w:t>
            </w:r>
          </w:p>
        </w:tc>
      </w:tr>
      <w:tr w14:paraId="47821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9C34F">
            <w:pPr>
              <w:shd w:val="clear"/>
              <w:spacing w:line="360" w:lineRule="auto"/>
              <w:rPr>
                <w:rFonts w:ascii="仿宋" w:hAnsi="仿宋" w:eastAsia="仿宋" w:cs="仿宋"/>
                <w:position w:val="-9"/>
                <w:highlight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2563E07D">
            <w:pPr>
              <w:shd w:val="clear"/>
              <w:overflowPunct w:val="0"/>
              <w:topLinePunct/>
              <w:spacing w:line="360" w:lineRule="auto"/>
              <w:ind w:right="14"/>
              <w:jc w:val="center"/>
              <w:rPr>
                <w:rFonts w:ascii="仿宋" w:hAnsi="仿宋" w:eastAsia="仿宋" w:cs="仿宋"/>
                <w:position w:val="-9"/>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DCAFB0E">
            <w:pPr>
              <w:shd w:val="clear"/>
              <w:overflowPunct w:val="0"/>
              <w:topLinePunct/>
              <w:spacing w:line="360" w:lineRule="auto"/>
              <w:ind w:right="14"/>
              <w:jc w:val="center"/>
              <w:rPr>
                <w:rFonts w:ascii="仿宋" w:hAnsi="仿宋" w:eastAsia="仿宋" w:cs="仿宋"/>
                <w:position w:val="-9"/>
                <w:highlight w:val="none"/>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703FFFF1">
            <w:pPr>
              <w:shd w:val="clear"/>
              <w:overflowPunct w:val="0"/>
              <w:topLinePunct/>
              <w:spacing w:line="360" w:lineRule="auto"/>
              <w:ind w:right="14"/>
              <w:jc w:val="center"/>
              <w:rPr>
                <w:rFonts w:ascii="仿宋" w:hAnsi="仿宋" w:eastAsia="仿宋" w:cs="仿宋"/>
                <w:position w:val="-9"/>
                <w:highlight w:val="none"/>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A552D84">
            <w:pPr>
              <w:shd w:val="clear"/>
              <w:overflowPunct w:val="0"/>
              <w:topLinePunct/>
              <w:spacing w:line="360" w:lineRule="auto"/>
              <w:ind w:right="14"/>
              <w:jc w:val="center"/>
              <w:rPr>
                <w:rFonts w:ascii="仿宋" w:hAnsi="仿宋" w:eastAsia="仿宋" w:cs="仿宋"/>
                <w:position w:val="-9"/>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E6FA8C7">
            <w:pPr>
              <w:shd w:val="clear"/>
              <w:overflowPunct w:val="0"/>
              <w:topLinePunct/>
              <w:spacing w:line="360" w:lineRule="auto"/>
              <w:ind w:right="14"/>
              <w:jc w:val="center"/>
              <w:rPr>
                <w:rFonts w:ascii="仿宋" w:hAnsi="仿宋" w:eastAsia="仿宋" w:cs="仿宋"/>
                <w:position w:val="-9"/>
                <w:highlight w:val="none"/>
              </w:rPr>
            </w:pPr>
          </w:p>
        </w:tc>
      </w:tr>
      <w:tr w14:paraId="58884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AC023">
            <w:pPr>
              <w:shd w:val="clear"/>
              <w:spacing w:line="360" w:lineRule="auto"/>
              <w:rPr>
                <w:rFonts w:ascii="仿宋" w:hAnsi="仿宋" w:eastAsia="仿宋" w:cs="仿宋"/>
                <w:position w:val="-9"/>
                <w:highlight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73D45A7">
            <w:pPr>
              <w:shd w:val="clear"/>
              <w:overflowPunct w:val="0"/>
              <w:topLinePunct/>
              <w:spacing w:line="360" w:lineRule="auto"/>
              <w:ind w:right="14"/>
              <w:jc w:val="center"/>
              <w:rPr>
                <w:rFonts w:ascii="仿宋" w:hAnsi="仿宋" w:eastAsia="仿宋" w:cs="仿宋"/>
                <w:position w:val="-9"/>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16C9A2">
            <w:pPr>
              <w:shd w:val="clear"/>
              <w:overflowPunct w:val="0"/>
              <w:topLinePunct/>
              <w:spacing w:line="360" w:lineRule="auto"/>
              <w:ind w:right="14"/>
              <w:jc w:val="center"/>
              <w:rPr>
                <w:rFonts w:ascii="仿宋" w:hAnsi="仿宋" w:eastAsia="仿宋" w:cs="仿宋"/>
                <w:position w:val="-9"/>
                <w:highlight w:val="none"/>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4C5BE5B0">
            <w:pPr>
              <w:shd w:val="clear"/>
              <w:overflowPunct w:val="0"/>
              <w:topLinePunct/>
              <w:spacing w:line="360" w:lineRule="auto"/>
              <w:ind w:right="14"/>
              <w:jc w:val="center"/>
              <w:rPr>
                <w:rFonts w:ascii="仿宋" w:hAnsi="仿宋" w:eastAsia="仿宋" w:cs="仿宋"/>
                <w:position w:val="-9"/>
                <w:highlight w:val="none"/>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EE23FC0">
            <w:pPr>
              <w:shd w:val="clear"/>
              <w:overflowPunct w:val="0"/>
              <w:topLinePunct/>
              <w:spacing w:line="360" w:lineRule="auto"/>
              <w:ind w:right="14"/>
              <w:jc w:val="center"/>
              <w:rPr>
                <w:rFonts w:ascii="仿宋" w:hAnsi="仿宋" w:eastAsia="仿宋" w:cs="仿宋"/>
                <w:position w:val="-9"/>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8BEF294">
            <w:pPr>
              <w:shd w:val="clear"/>
              <w:overflowPunct w:val="0"/>
              <w:topLinePunct/>
              <w:spacing w:line="360" w:lineRule="auto"/>
              <w:ind w:right="14"/>
              <w:jc w:val="center"/>
              <w:rPr>
                <w:rFonts w:ascii="仿宋" w:hAnsi="仿宋" w:eastAsia="仿宋" w:cs="仿宋"/>
                <w:position w:val="-9"/>
                <w:highlight w:val="none"/>
              </w:rPr>
            </w:pPr>
          </w:p>
        </w:tc>
      </w:tr>
      <w:tr w14:paraId="61ED9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007E0">
            <w:pPr>
              <w:shd w:val="clear"/>
              <w:spacing w:line="360" w:lineRule="auto"/>
              <w:rPr>
                <w:rFonts w:ascii="仿宋" w:hAnsi="仿宋" w:eastAsia="仿宋" w:cs="仿宋"/>
                <w:position w:val="-9"/>
                <w:highlight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315AF42A">
            <w:pPr>
              <w:shd w:val="clear"/>
              <w:overflowPunct w:val="0"/>
              <w:topLinePunct/>
              <w:spacing w:line="360" w:lineRule="auto"/>
              <w:ind w:right="14"/>
              <w:jc w:val="center"/>
              <w:rPr>
                <w:rFonts w:ascii="仿宋" w:hAnsi="仿宋" w:eastAsia="仿宋" w:cs="仿宋"/>
                <w:position w:val="-9"/>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5C170FE">
            <w:pPr>
              <w:shd w:val="clear"/>
              <w:overflowPunct w:val="0"/>
              <w:topLinePunct/>
              <w:spacing w:line="360" w:lineRule="auto"/>
              <w:ind w:right="14"/>
              <w:jc w:val="center"/>
              <w:rPr>
                <w:rFonts w:ascii="仿宋" w:hAnsi="仿宋" w:eastAsia="仿宋" w:cs="仿宋"/>
                <w:position w:val="-9"/>
                <w:highlight w:val="none"/>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56F06F25">
            <w:pPr>
              <w:shd w:val="clear"/>
              <w:overflowPunct w:val="0"/>
              <w:topLinePunct/>
              <w:spacing w:line="360" w:lineRule="auto"/>
              <w:ind w:right="14"/>
              <w:jc w:val="center"/>
              <w:rPr>
                <w:rFonts w:ascii="仿宋" w:hAnsi="仿宋" w:eastAsia="仿宋" w:cs="仿宋"/>
                <w:position w:val="-9"/>
                <w:highlight w:val="none"/>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3CDAAB3">
            <w:pPr>
              <w:shd w:val="clear"/>
              <w:overflowPunct w:val="0"/>
              <w:topLinePunct/>
              <w:spacing w:line="360" w:lineRule="auto"/>
              <w:ind w:right="14"/>
              <w:jc w:val="center"/>
              <w:rPr>
                <w:rFonts w:ascii="仿宋" w:hAnsi="仿宋" w:eastAsia="仿宋" w:cs="仿宋"/>
                <w:position w:val="-9"/>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C5F5810">
            <w:pPr>
              <w:shd w:val="clear"/>
              <w:overflowPunct w:val="0"/>
              <w:topLinePunct/>
              <w:spacing w:line="360" w:lineRule="auto"/>
              <w:ind w:right="14"/>
              <w:jc w:val="center"/>
              <w:rPr>
                <w:rFonts w:ascii="仿宋" w:hAnsi="仿宋" w:eastAsia="仿宋" w:cs="仿宋"/>
                <w:position w:val="-9"/>
                <w:highlight w:val="none"/>
              </w:rPr>
            </w:pPr>
          </w:p>
        </w:tc>
      </w:tr>
      <w:tr w14:paraId="0BB22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B87E7">
            <w:pPr>
              <w:shd w:val="clear"/>
              <w:spacing w:line="360" w:lineRule="auto"/>
              <w:rPr>
                <w:rFonts w:ascii="仿宋" w:hAnsi="仿宋" w:eastAsia="仿宋" w:cs="仿宋"/>
                <w:position w:val="-9"/>
                <w:highlight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39611D42">
            <w:pPr>
              <w:shd w:val="clear"/>
              <w:overflowPunct w:val="0"/>
              <w:topLinePunct/>
              <w:spacing w:line="360" w:lineRule="auto"/>
              <w:ind w:right="14"/>
              <w:jc w:val="center"/>
              <w:rPr>
                <w:rFonts w:ascii="仿宋" w:hAnsi="仿宋" w:eastAsia="仿宋" w:cs="仿宋"/>
                <w:position w:val="-9"/>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4296FF7">
            <w:pPr>
              <w:shd w:val="clear"/>
              <w:overflowPunct w:val="0"/>
              <w:topLinePunct/>
              <w:spacing w:line="360" w:lineRule="auto"/>
              <w:ind w:right="14"/>
              <w:jc w:val="center"/>
              <w:rPr>
                <w:rFonts w:ascii="仿宋" w:hAnsi="仿宋" w:eastAsia="仿宋" w:cs="仿宋"/>
                <w:position w:val="-9"/>
                <w:highlight w:val="none"/>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337FFC04">
            <w:pPr>
              <w:shd w:val="clear"/>
              <w:overflowPunct w:val="0"/>
              <w:topLinePunct/>
              <w:spacing w:line="360" w:lineRule="auto"/>
              <w:ind w:right="14"/>
              <w:jc w:val="center"/>
              <w:rPr>
                <w:rFonts w:ascii="仿宋" w:hAnsi="仿宋" w:eastAsia="仿宋" w:cs="仿宋"/>
                <w:position w:val="-9"/>
                <w:highlight w:val="none"/>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450DA313">
            <w:pPr>
              <w:shd w:val="clear"/>
              <w:overflowPunct w:val="0"/>
              <w:topLinePunct/>
              <w:spacing w:line="360" w:lineRule="auto"/>
              <w:ind w:right="14"/>
              <w:jc w:val="center"/>
              <w:rPr>
                <w:rFonts w:ascii="仿宋" w:hAnsi="仿宋" w:eastAsia="仿宋" w:cs="仿宋"/>
                <w:position w:val="-9"/>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4D9DDCB">
            <w:pPr>
              <w:shd w:val="clear"/>
              <w:overflowPunct w:val="0"/>
              <w:topLinePunct/>
              <w:spacing w:line="360" w:lineRule="auto"/>
              <w:ind w:right="14"/>
              <w:jc w:val="center"/>
              <w:rPr>
                <w:rFonts w:ascii="仿宋" w:hAnsi="仿宋" w:eastAsia="仿宋" w:cs="仿宋"/>
                <w:position w:val="-9"/>
                <w:highlight w:val="none"/>
              </w:rPr>
            </w:pPr>
          </w:p>
        </w:tc>
      </w:tr>
      <w:tr w14:paraId="47B9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FEB87">
            <w:pPr>
              <w:shd w:val="clear"/>
              <w:spacing w:line="360" w:lineRule="auto"/>
              <w:rPr>
                <w:rFonts w:ascii="仿宋" w:hAnsi="仿宋" w:eastAsia="仿宋" w:cs="仿宋"/>
                <w:position w:val="-9"/>
                <w:highlight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5EE7C925">
            <w:pPr>
              <w:shd w:val="clear"/>
              <w:overflowPunct w:val="0"/>
              <w:topLinePunct/>
              <w:spacing w:line="360" w:lineRule="auto"/>
              <w:ind w:right="14"/>
              <w:jc w:val="center"/>
              <w:rPr>
                <w:rFonts w:ascii="仿宋" w:hAnsi="仿宋" w:eastAsia="仿宋" w:cs="仿宋"/>
                <w:position w:val="-9"/>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F752DF9">
            <w:pPr>
              <w:shd w:val="clear"/>
              <w:overflowPunct w:val="0"/>
              <w:topLinePunct/>
              <w:spacing w:line="360" w:lineRule="auto"/>
              <w:ind w:right="14"/>
              <w:jc w:val="center"/>
              <w:rPr>
                <w:rFonts w:ascii="仿宋" w:hAnsi="仿宋" w:eastAsia="仿宋" w:cs="仿宋"/>
                <w:position w:val="-9"/>
                <w:highlight w:val="none"/>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16C255B8">
            <w:pPr>
              <w:shd w:val="clear"/>
              <w:overflowPunct w:val="0"/>
              <w:topLinePunct/>
              <w:spacing w:line="360" w:lineRule="auto"/>
              <w:ind w:right="14"/>
              <w:jc w:val="center"/>
              <w:rPr>
                <w:rFonts w:ascii="仿宋" w:hAnsi="仿宋" w:eastAsia="仿宋" w:cs="仿宋"/>
                <w:position w:val="-9"/>
                <w:highlight w:val="none"/>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00BAAA1F">
            <w:pPr>
              <w:shd w:val="clear"/>
              <w:overflowPunct w:val="0"/>
              <w:topLinePunct/>
              <w:spacing w:line="360" w:lineRule="auto"/>
              <w:ind w:right="14"/>
              <w:jc w:val="center"/>
              <w:rPr>
                <w:rFonts w:ascii="仿宋" w:hAnsi="仿宋" w:eastAsia="仿宋" w:cs="仿宋"/>
                <w:position w:val="-9"/>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BCB04F4">
            <w:pPr>
              <w:shd w:val="clear"/>
              <w:overflowPunct w:val="0"/>
              <w:topLinePunct/>
              <w:spacing w:line="360" w:lineRule="auto"/>
              <w:ind w:right="14"/>
              <w:jc w:val="center"/>
              <w:rPr>
                <w:rFonts w:ascii="仿宋" w:hAnsi="仿宋" w:eastAsia="仿宋" w:cs="仿宋"/>
                <w:position w:val="-9"/>
                <w:highlight w:val="none"/>
              </w:rPr>
            </w:pPr>
          </w:p>
        </w:tc>
      </w:tr>
    </w:tbl>
    <w:p w14:paraId="02F84A1C">
      <w:pPr>
        <w:shd w:val="clear"/>
        <w:spacing w:line="360" w:lineRule="auto"/>
        <w:ind w:firstLine="160" w:firstLineChars="67"/>
        <w:rPr>
          <w:rFonts w:ascii="仿宋" w:hAnsi="仿宋" w:eastAsia="仿宋" w:cs="仿宋"/>
          <w:highlight w:val="none"/>
        </w:rPr>
      </w:pPr>
      <w:r>
        <w:rPr>
          <w:rFonts w:hint="eastAsia" w:cs="仿宋"/>
          <w:highlight w:val="none"/>
        </w:rPr>
        <w:t>注：若无商务或技术偏差，本表可不填。</w:t>
      </w:r>
    </w:p>
    <w:p w14:paraId="4B569DBF">
      <w:pPr>
        <w:shd w:val="clear"/>
        <w:spacing w:line="360" w:lineRule="auto"/>
        <w:ind w:firstLine="4560" w:firstLineChars="1900"/>
        <w:rPr>
          <w:rFonts w:hint="eastAsia" w:cs="仿宋"/>
          <w:highlight w:val="none"/>
        </w:rPr>
      </w:pPr>
      <w:r>
        <w:rPr>
          <w:rFonts w:hint="eastAsia" w:cs="仿宋"/>
          <w:highlight w:val="none"/>
        </w:rPr>
        <w:t>投标人：（盖单位章）</w:t>
      </w:r>
    </w:p>
    <w:p w14:paraId="2CC68F57">
      <w:pPr>
        <w:shd w:val="clear"/>
        <w:spacing w:line="360" w:lineRule="auto"/>
        <w:ind w:firstLine="4560" w:firstLineChars="1900"/>
        <w:rPr>
          <w:rFonts w:hint="eastAsia" w:cs="仿宋"/>
          <w:highlight w:val="none"/>
        </w:rPr>
      </w:pPr>
      <w:r>
        <w:rPr>
          <w:rFonts w:hint="eastAsia" w:cs="仿宋"/>
          <w:highlight w:val="none"/>
        </w:rPr>
        <w:t>法定代表人或其委托代理人：（签字）</w:t>
      </w:r>
    </w:p>
    <w:p w14:paraId="628D817C">
      <w:pPr>
        <w:shd w:val="clear"/>
        <w:spacing w:line="360" w:lineRule="auto"/>
        <w:ind w:firstLine="4560" w:firstLineChars="1900"/>
        <w:rPr>
          <w:rFonts w:hint="eastAsia" w:cs="仿宋"/>
          <w:highlight w:val="none"/>
        </w:rPr>
      </w:pPr>
      <w:r>
        <w:rPr>
          <w:rFonts w:hint="eastAsia" w:cs="仿宋"/>
          <w:highlight w:val="none"/>
        </w:rPr>
        <w:t>年月日</w:t>
      </w:r>
    </w:p>
    <w:p w14:paraId="67FD48F9">
      <w:pPr>
        <w:shd w:val="clear"/>
        <w:spacing w:line="360" w:lineRule="auto"/>
        <w:ind w:firstLine="6960" w:firstLineChars="2900"/>
        <w:rPr>
          <w:rFonts w:ascii="仿宋" w:hAnsi="仿宋" w:eastAsia="仿宋" w:cs="仿宋"/>
          <w:highlight w:val="none"/>
        </w:rPr>
      </w:pPr>
    </w:p>
    <w:p w14:paraId="08499B90">
      <w:pPr>
        <w:pStyle w:val="59"/>
        <w:shd w:val="clear"/>
        <w:jc w:val="center"/>
        <w:outlineLvl w:val="9"/>
        <w:rPr>
          <w:highlight w:val="none"/>
        </w:rPr>
      </w:pPr>
    </w:p>
    <w:p w14:paraId="1E4AB1DE">
      <w:pPr>
        <w:pStyle w:val="59"/>
        <w:shd w:val="clear"/>
        <w:jc w:val="center"/>
        <w:outlineLvl w:val="9"/>
        <w:rPr>
          <w:rFonts w:hint="eastAsia"/>
          <w:highlight w:val="none"/>
        </w:rPr>
      </w:pPr>
      <w:bookmarkStart w:id="287" w:name="_Toc508871760"/>
    </w:p>
    <w:p w14:paraId="66338F02">
      <w:pPr>
        <w:pStyle w:val="59"/>
        <w:shd w:val="clear"/>
        <w:ind w:left="851" w:leftChars="0" w:hanging="851" w:firstLineChars="0"/>
        <w:outlineLvl w:val="0"/>
        <w:rPr>
          <w:rFonts w:hint="eastAsia"/>
          <w:highlight w:val="none"/>
        </w:rPr>
      </w:pPr>
      <w:bookmarkStart w:id="288" w:name="_Toc31960_WPSOffice_Level1"/>
      <w:bookmarkStart w:id="289" w:name="_Toc20091"/>
      <w:r>
        <w:rPr>
          <w:rFonts w:hint="eastAsia"/>
          <w:highlight w:val="none"/>
          <w:lang w:val="en-US" w:eastAsia="zh-CN"/>
        </w:rPr>
        <w:t>8</w:t>
      </w:r>
      <w:r>
        <w:rPr>
          <w:rFonts w:hint="eastAsia"/>
          <w:highlight w:val="none"/>
        </w:rPr>
        <w:t>、投标人认为应补充的其他资料</w:t>
      </w:r>
      <w:bookmarkEnd w:id="284"/>
      <w:bookmarkEnd w:id="285"/>
      <w:bookmarkEnd w:id="286"/>
      <w:bookmarkEnd w:id="287"/>
      <w:bookmarkEnd w:id="288"/>
      <w:bookmarkEnd w:id="289"/>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楷体_GB2312">
    <w:panose1 w:val="02010609030101010101"/>
    <w:charset w:val="86"/>
    <w:family w:val="auto"/>
    <w:pitch w:val="default"/>
    <w:sig w:usb0="00000001" w:usb1="080E0000" w:usb2="00000000" w:usb3="00000000" w:csb0="00040000" w:csb1="00000000"/>
  </w:font>
  <w:font w:name="iconfon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EB1CE">
    <w:pPr>
      <w:pStyle w:val="30"/>
      <w:tabs>
        <w:tab w:val="clear" w:pos="4153"/>
        <w:tab w:val="clear"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00CD8">
    <w:pPr>
      <w:pStyle w:val="30"/>
      <w:tabs>
        <w:tab w:val="clear" w:pos="4153"/>
        <w:tab w:val="clear"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3436C8">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A3436C8">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2C4C3">
    <w:pPr>
      <w:pStyle w:val="30"/>
      <w:framePr w:wrap="around" w:vAnchor="text" w:hAnchor="margin" w:xAlign="center" w:y="1"/>
      <w:rPr>
        <w:rStyle w:val="50"/>
      </w:rPr>
    </w:pPr>
    <w:r>
      <w:fldChar w:fldCharType="begin"/>
    </w:r>
    <w:r>
      <w:rPr>
        <w:rStyle w:val="50"/>
      </w:rPr>
      <w:instrText xml:space="preserve">PAGE  </w:instrText>
    </w:r>
    <w:r>
      <w:fldChar w:fldCharType="separate"/>
    </w:r>
    <w:r>
      <w:rPr>
        <w:rStyle w:val="50"/>
      </w:rPr>
      <w:t>25</w:t>
    </w:r>
    <w:r>
      <w:fldChar w:fldCharType="end"/>
    </w:r>
  </w:p>
  <w:p w14:paraId="329C4FAD">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05D4E">
    <w:pPr>
      <w:pStyle w:val="30"/>
      <w:framePr w:wrap="around" w:vAnchor="text" w:hAnchor="margin" w:xAlign="center" w:y="1"/>
      <w:rPr>
        <w:rStyle w:val="50"/>
      </w:rPr>
    </w:pPr>
    <w:r>
      <w:fldChar w:fldCharType="begin"/>
    </w:r>
    <w:r>
      <w:rPr>
        <w:rStyle w:val="50"/>
      </w:rPr>
      <w:instrText xml:space="preserve">PAGE  </w:instrText>
    </w:r>
    <w:r>
      <w:fldChar w:fldCharType="end"/>
    </w:r>
  </w:p>
  <w:p w14:paraId="7236560D">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C82E0">
    <w:pPr>
      <w:rPr>
        <w:sz w:val="2"/>
        <w:szCs w:val="2"/>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D51D5">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4D51D5">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9673590</wp:posOffset>
              </wp:positionV>
              <wp:extent cx="114935" cy="15494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4940"/>
                      </a:xfrm>
                      <a:prstGeom prst="rect">
                        <a:avLst/>
                      </a:prstGeom>
                      <a:noFill/>
                      <a:ln>
                        <a:noFill/>
                      </a:ln>
                      <a:effectLst/>
                    </wps:spPr>
                    <wps:txbx>
                      <w:txbxContent>
                        <w:p w14:paraId="462FBFDC"/>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300.25pt;margin-top:761.7pt;height:12.2pt;width:9.05pt;mso-position-horizontal-relative:page;mso-position-vertical-relative:page;mso-wrap-style:none;z-index:-251657216;mso-width-relative:page;mso-height-relative:page;" filled="f" stroked="f" coordsize="21600,21600" o:gfxdata="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KtlEfYAAAADQEAAA8AAAAAAAAAAQAg&#10;AAAAIgAAAGRycy9kb3ducmV2LnhtbFBLAQIUABQAAAAIAIdO4kBScHXYDgIAABAEAAAOAAAAAAAA&#10;AAEAIAAAACcBAABkcnMvZTJvRG9jLnhtbFBLBQYAAAAABgAGAFkBAACnBQAAAAA=&#10;">
              <v:fill on="f" focussize="0,0"/>
              <v:stroke on="f"/>
              <v:imagedata o:title=""/>
              <o:lock v:ext="edit" aspectratio="f"/>
              <v:textbox inset="0mm,0mm,0mm,0mm" style="mso-fit-shape-to-text:t;">
                <w:txbxContent>
                  <w:p w14:paraId="462FBFDC"/>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89FD1">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4FCB5"/>
    <w:multiLevelType w:val="singleLevel"/>
    <w:tmpl w:val="9364FCB5"/>
    <w:lvl w:ilvl="0" w:tentative="0">
      <w:start w:val="1"/>
      <w:numFmt w:val="decimal"/>
      <w:suff w:val="nothing"/>
      <w:lvlText w:val="%1、"/>
      <w:lvlJc w:val="left"/>
    </w:lvl>
  </w:abstractNum>
  <w:abstractNum w:abstractNumId="1">
    <w:nsid w:val="D8991667"/>
    <w:multiLevelType w:val="singleLevel"/>
    <w:tmpl w:val="D8991667"/>
    <w:lvl w:ilvl="0" w:tentative="0">
      <w:start w:val="1"/>
      <w:numFmt w:val="decimal"/>
      <w:suff w:val="nothing"/>
      <w:lvlText w:val="%1、"/>
      <w:lvlJc w:val="left"/>
      <w:pPr>
        <w:tabs>
          <w:tab w:val="left" w:pos="0"/>
        </w:tabs>
        <w:ind w:left="0" w:firstLine="40"/>
      </w:pPr>
      <w:rPr>
        <w:rFonts w:hint="default"/>
      </w:rPr>
    </w:lvl>
  </w:abstractNum>
  <w:abstractNum w:abstractNumId="2">
    <w:nsid w:val="0000000E"/>
    <w:multiLevelType w:val="multilevel"/>
    <w:tmpl w:val="0000000E"/>
    <w:lvl w:ilvl="0" w:tentative="0">
      <w:start w:val="1"/>
      <w:numFmt w:val="decimal"/>
      <w:pStyle w:val="68"/>
      <w:lvlText w:val="（%1）"/>
      <w:lvlJc w:val="left"/>
      <w:pPr>
        <w:tabs>
          <w:tab w:val="left" w:pos="1200"/>
        </w:tabs>
        <w:ind w:left="1200" w:hanging="7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
    <w:nsid w:val="12B2776B"/>
    <w:multiLevelType w:val="singleLevel"/>
    <w:tmpl w:val="12B2776B"/>
    <w:lvl w:ilvl="0" w:tentative="0">
      <w:start w:val="3"/>
      <w:numFmt w:val="chineseCounting"/>
      <w:suff w:val="nothing"/>
      <w:lvlText w:val="%1、"/>
      <w:lvlJc w:val="left"/>
      <w:rPr>
        <w:rFonts w:hint="eastAsia"/>
      </w:rPr>
    </w:lvl>
  </w:abstractNum>
  <w:abstractNum w:abstractNumId="4">
    <w:nsid w:val="68EDA718"/>
    <w:multiLevelType w:val="singleLevel"/>
    <w:tmpl w:val="68EDA718"/>
    <w:lvl w:ilvl="0" w:tentative="0">
      <w:start w:val="2"/>
      <w:numFmt w:val="decimal"/>
      <w:suff w:val="nothing"/>
      <w:lvlText w:val="%1、"/>
      <w:lvlJc w:val="left"/>
    </w:lvl>
  </w:abstractNum>
  <w:abstractNum w:abstractNumId="5">
    <w:nsid w:val="6CC9D73C"/>
    <w:multiLevelType w:val="singleLevel"/>
    <w:tmpl w:val="6CC9D73C"/>
    <w:lvl w:ilvl="0" w:tentative="0">
      <w:start w:val="1"/>
      <w:numFmt w:val="decimal"/>
      <w:suff w:val="nothing"/>
      <w:lvlText w:val="%1、"/>
      <w:lvlJc w:val="left"/>
      <w:pPr>
        <w:ind w:left="0" w:firstLine="40"/>
      </w:pPr>
    </w:lvl>
  </w:abstractNum>
  <w:num w:numId="1">
    <w:abstractNumId w:val="2"/>
    <w:lvlOverride w:ilvl="0">
      <w:startOverride w:val="1"/>
    </w:lvlOverride>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xMjkzYWNlZTUyOWJkNzc0NWJhZjZjMGI2ODk4NTQifQ=="/>
  </w:docVars>
  <w:rsids>
    <w:rsidRoot w:val="00172A27"/>
    <w:rsid w:val="000005B4"/>
    <w:rsid w:val="00000B07"/>
    <w:rsid w:val="00000E24"/>
    <w:rsid w:val="000010DF"/>
    <w:rsid w:val="000014B1"/>
    <w:rsid w:val="00001C2B"/>
    <w:rsid w:val="00001D8C"/>
    <w:rsid w:val="00001E66"/>
    <w:rsid w:val="00002256"/>
    <w:rsid w:val="000024DC"/>
    <w:rsid w:val="00002E3C"/>
    <w:rsid w:val="00003011"/>
    <w:rsid w:val="000031D6"/>
    <w:rsid w:val="00003666"/>
    <w:rsid w:val="0000484B"/>
    <w:rsid w:val="000051FA"/>
    <w:rsid w:val="00005213"/>
    <w:rsid w:val="00005803"/>
    <w:rsid w:val="00005A71"/>
    <w:rsid w:val="00005FC3"/>
    <w:rsid w:val="00006271"/>
    <w:rsid w:val="00006372"/>
    <w:rsid w:val="00006892"/>
    <w:rsid w:val="00006945"/>
    <w:rsid w:val="00006966"/>
    <w:rsid w:val="00006B71"/>
    <w:rsid w:val="00006D24"/>
    <w:rsid w:val="000072D9"/>
    <w:rsid w:val="000073CB"/>
    <w:rsid w:val="000073D1"/>
    <w:rsid w:val="00007405"/>
    <w:rsid w:val="000101F6"/>
    <w:rsid w:val="00010A4A"/>
    <w:rsid w:val="00010A4D"/>
    <w:rsid w:val="00010AD0"/>
    <w:rsid w:val="00010EDF"/>
    <w:rsid w:val="00011002"/>
    <w:rsid w:val="00011034"/>
    <w:rsid w:val="0001111F"/>
    <w:rsid w:val="000119AF"/>
    <w:rsid w:val="00011BE9"/>
    <w:rsid w:val="00011D0F"/>
    <w:rsid w:val="00011F0A"/>
    <w:rsid w:val="000124CC"/>
    <w:rsid w:val="0001256A"/>
    <w:rsid w:val="0001262C"/>
    <w:rsid w:val="000129F7"/>
    <w:rsid w:val="00013001"/>
    <w:rsid w:val="00013B10"/>
    <w:rsid w:val="00013F9F"/>
    <w:rsid w:val="00014073"/>
    <w:rsid w:val="00014717"/>
    <w:rsid w:val="00014DFC"/>
    <w:rsid w:val="00014E31"/>
    <w:rsid w:val="00014F89"/>
    <w:rsid w:val="000151C5"/>
    <w:rsid w:val="00015261"/>
    <w:rsid w:val="00015339"/>
    <w:rsid w:val="000156FA"/>
    <w:rsid w:val="00016615"/>
    <w:rsid w:val="000169BE"/>
    <w:rsid w:val="00016C2E"/>
    <w:rsid w:val="00016C4E"/>
    <w:rsid w:val="0001748F"/>
    <w:rsid w:val="000175FA"/>
    <w:rsid w:val="0001776E"/>
    <w:rsid w:val="00017B32"/>
    <w:rsid w:val="00020002"/>
    <w:rsid w:val="0002010A"/>
    <w:rsid w:val="000201A4"/>
    <w:rsid w:val="000209E9"/>
    <w:rsid w:val="00020DBF"/>
    <w:rsid w:val="000211EE"/>
    <w:rsid w:val="00021419"/>
    <w:rsid w:val="00021B05"/>
    <w:rsid w:val="00021BC9"/>
    <w:rsid w:val="00021DF2"/>
    <w:rsid w:val="0002202B"/>
    <w:rsid w:val="00022932"/>
    <w:rsid w:val="00022B1F"/>
    <w:rsid w:val="00022DE5"/>
    <w:rsid w:val="00022EB3"/>
    <w:rsid w:val="00022F46"/>
    <w:rsid w:val="0002305E"/>
    <w:rsid w:val="000230C1"/>
    <w:rsid w:val="000236BD"/>
    <w:rsid w:val="00023805"/>
    <w:rsid w:val="000239BC"/>
    <w:rsid w:val="00023B44"/>
    <w:rsid w:val="00023F4A"/>
    <w:rsid w:val="000245CE"/>
    <w:rsid w:val="00024793"/>
    <w:rsid w:val="00024F92"/>
    <w:rsid w:val="000253BA"/>
    <w:rsid w:val="00025B4E"/>
    <w:rsid w:val="00025F21"/>
    <w:rsid w:val="00025F90"/>
    <w:rsid w:val="000260D0"/>
    <w:rsid w:val="00026533"/>
    <w:rsid w:val="00026F5F"/>
    <w:rsid w:val="00027362"/>
    <w:rsid w:val="000274FA"/>
    <w:rsid w:val="0002763D"/>
    <w:rsid w:val="000276E8"/>
    <w:rsid w:val="000276FC"/>
    <w:rsid w:val="00027ABD"/>
    <w:rsid w:val="00027DCE"/>
    <w:rsid w:val="000300CF"/>
    <w:rsid w:val="00030F35"/>
    <w:rsid w:val="000318B3"/>
    <w:rsid w:val="00031D68"/>
    <w:rsid w:val="00032074"/>
    <w:rsid w:val="000324A6"/>
    <w:rsid w:val="000324AA"/>
    <w:rsid w:val="00032E07"/>
    <w:rsid w:val="00033272"/>
    <w:rsid w:val="00033311"/>
    <w:rsid w:val="0003338B"/>
    <w:rsid w:val="00033BDB"/>
    <w:rsid w:val="00033C6E"/>
    <w:rsid w:val="0003492D"/>
    <w:rsid w:val="00034A63"/>
    <w:rsid w:val="00034DEE"/>
    <w:rsid w:val="00034FFC"/>
    <w:rsid w:val="000353DA"/>
    <w:rsid w:val="00035C79"/>
    <w:rsid w:val="00035C9A"/>
    <w:rsid w:val="00035E61"/>
    <w:rsid w:val="00036284"/>
    <w:rsid w:val="0003636D"/>
    <w:rsid w:val="00036D78"/>
    <w:rsid w:val="00037101"/>
    <w:rsid w:val="00037517"/>
    <w:rsid w:val="00037943"/>
    <w:rsid w:val="00037EEC"/>
    <w:rsid w:val="00040399"/>
    <w:rsid w:val="000409A2"/>
    <w:rsid w:val="00040EFC"/>
    <w:rsid w:val="00041534"/>
    <w:rsid w:val="00041906"/>
    <w:rsid w:val="00041AA5"/>
    <w:rsid w:val="00041EC7"/>
    <w:rsid w:val="000421BC"/>
    <w:rsid w:val="0004256B"/>
    <w:rsid w:val="000426FA"/>
    <w:rsid w:val="0004298A"/>
    <w:rsid w:val="00042A76"/>
    <w:rsid w:val="0004304B"/>
    <w:rsid w:val="00043229"/>
    <w:rsid w:val="00043394"/>
    <w:rsid w:val="00043424"/>
    <w:rsid w:val="0004381E"/>
    <w:rsid w:val="00043A30"/>
    <w:rsid w:val="00043BDE"/>
    <w:rsid w:val="00043C75"/>
    <w:rsid w:val="00043F14"/>
    <w:rsid w:val="000444A8"/>
    <w:rsid w:val="00044689"/>
    <w:rsid w:val="000462DC"/>
    <w:rsid w:val="0004667B"/>
    <w:rsid w:val="00047032"/>
    <w:rsid w:val="0005080F"/>
    <w:rsid w:val="00050C85"/>
    <w:rsid w:val="0005130E"/>
    <w:rsid w:val="000514BD"/>
    <w:rsid w:val="00051C2F"/>
    <w:rsid w:val="00051E12"/>
    <w:rsid w:val="00051E9A"/>
    <w:rsid w:val="000521A6"/>
    <w:rsid w:val="000525A2"/>
    <w:rsid w:val="00052C17"/>
    <w:rsid w:val="00052D23"/>
    <w:rsid w:val="00052D74"/>
    <w:rsid w:val="00052E51"/>
    <w:rsid w:val="00052F08"/>
    <w:rsid w:val="00053732"/>
    <w:rsid w:val="00053929"/>
    <w:rsid w:val="00053C48"/>
    <w:rsid w:val="00053D7C"/>
    <w:rsid w:val="00053FBC"/>
    <w:rsid w:val="00054583"/>
    <w:rsid w:val="000547CE"/>
    <w:rsid w:val="00054842"/>
    <w:rsid w:val="00054C75"/>
    <w:rsid w:val="00054DB3"/>
    <w:rsid w:val="0005555E"/>
    <w:rsid w:val="000562FE"/>
    <w:rsid w:val="0005634E"/>
    <w:rsid w:val="000573D9"/>
    <w:rsid w:val="00057665"/>
    <w:rsid w:val="00057BB7"/>
    <w:rsid w:val="0006062A"/>
    <w:rsid w:val="00060A40"/>
    <w:rsid w:val="00060A6D"/>
    <w:rsid w:val="00060CC6"/>
    <w:rsid w:val="000613F2"/>
    <w:rsid w:val="000615FB"/>
    <w:rsid w:val="00061E0C"/>
    <w:rsid w:val="000620CB"/>
    <w:rsid w:val="000631EA"/>
    <w:rsid w:val="0006350A"/>
    <w:rsid w:val="000637A3"/>
    <w:rsid w:val="00063ED9"/>
    <w:rsid w:val="00064071"/>
    <w:rsid w:val="000645F0"/>
    <w:rsid w:val="0006460A"/>
    <w:rsid w:val="00064ABE"/>
    <w:rsid w:val="00064C17"/>
    <w:rsid w:val="00064C96"/>
    <w:rsid w:val="00064CBA"/>
    <w:rsid w:val="00065387"/>
    <w:rsid w:val="00065623"/>
    <w:rsid w:val="00065720"/>
    <w:rsid w:val="000659B8"/>
    <w:rsid w:val="00065A50"/>
    <w:rsid w:val="00065C47"/>
    <w:rsid w:val="00066077"/>
    <w:rsid w:val="00066222"/>
    <w:rsid w:val="00066368"/>
    <w:rsid w:val="000664F0"/>
    <w:rsid w:val="00067088"/>
    <w:rsid w:val="000672B7"/>
    <w:rsid w:val="000679AF"/>
    <w:rsid w:val="0007029A"/>
    <w:rsid w:val="000703F0"/>
    <w:rsid w:val="000707EC"/>
    <w:rsid w:val="00070B46"/>
    <w:rsid w:val="00070C0E"/>
    <w:rsid w:val="00071720"/>
    <w:rsid w:val="00071C07"/>
    <w:rsid w:val="00071E56"/>
    <w:rsid w:val="00071EFD"/>
    <w:rsid w:val="000721AC"/>
    <w:rsid w:val="000723E7"/>
    <w:rsid w:val="0007243E"/>
    <w:rsid w:val="0007252B"/>
    <w:rsid w:val="00072F21"/>
    <w:rsid w:val="000740A0"/>
    <w:rsid w:val="00074319"/>
    <w:rsid w:val="0007515A"/>
    <w:rsid w:val="0007569B"/>
    <w:rsid w:val="00075E72"/>
    <w:rsid w:val="00076696"/>
    <w:rsid w:val="00076784"/>
    <w:rsid w:val="00076A01"/>
    <w:rsid w:val="0007712C"/>
    <w:rsid w:val="00077199"/>
    <w:rsid w:val="00077219"/>
    <w:rsid w:val="00077707"/>
    <w:rsid w:val="00077B3C"/>
    <w:rsid w:val="00077DE9"/>
    <w:rsid w:val="00077F52"/>
    <w:rsid w:val="00080A0F"/>
    <w:rsid w:val="00080C1F"/>
    <w:rsid w:val="00080DF8"/>
    <w:rsid w:val="000811DE"/>
    <w:rsid w:val="000814AE"/>
    <w:rsid w:val="000819D7"/>
    <w:rsid w:val="00081BCB"/>
    <w:rsid w:val="00082122"/>
    <w:rsid w:val="00082397"/>
    <w:rsid w:val="000834C0"/>
    <w:rsid w:val="000834C8"/>
    <w:rsid w:val="000838D8"/>
    <w:rsid w:val="00083B20"/>
    <w:rsid w:val="00083E3B"/>
    <w:rsid w:val="000841E8"/>
    <w:rsid w:val="00084696"/>
    <w:rsid w:val="00084B4A"/>
    <w:rsid w:val="00084B75"/>
    <w:rsid w:val="00084BB8"/>
    <w:rsid w:val="00084F26"/>
    <w:rsid w:val="00085201"/>
    <w:rsid w:val="00085C66"/>
    <w:rsid w:val="00085D47"/>
    <w:rsid w:val="000864C0"/>
    <w:rsid w:val="0008686F"/>
    <w:rsid w:val="00086E57"/>
    <w:rsid w:val="00087001"/>
    <w:rsid w:val="00087057"/>
    <w:rsid w:val="0008760A"/>
    <w:rsid w:val="000877D4"/>
    <w:rsid w:val="0008782C"/>
    <w:rsid w:val="00087A10"/>
    <w:rsid w:val="00087E6C"/>
    <w:rsid w:val="00087E81"/>
    <w:rsid w:val="00090628"/>
    <w:rsid w:val="00090A40"/>
    <w:rsid w:val="000914C3"/>
    <w:rsid w:val="00091880"/>
    <w:rsid w:val="00091925"/>
    <w:rsid w:val="00091AA0"/>
    <w:rsid w:val="00092168"/>
    <w:rsid w:val="0009277E"/>
    <w:rsid w:val="0009301A"/>
    <w:rsid w:val="0009326F"/>
    <w:rsid w:val="00093436"/>
    <w:rsid w:val="00093B80"/>
    <w:rsid w:val="00094023"/>
    <w:rsid w:val="0009438B"/>
    <w:rsid w:val="000945CB"/>
    <w:rsid w:val="00094646"/>
    <w:rsid w:val="0009475E"/>
    <w:rsid w:val="00094AD9"/>
    <w:rsid w:val="00094B44"/>
    <w:rsid w:val="00094B60"/>
    <w:rsid w:val="00095147"/>
    <w:rsid w:val="00095A42"/>
    <w:rsid w:val="00095BB3"/>
    <w:rsid w:val="00095D9E"/>
    <w:rsid w:val="00095E23"/>
    <w:rsid w:val="000960A9"/>
    <w:rsid w:val="00096353"/>
    <w:rsid w:val="00096E8D"/>
    <w:rsid w:val="00097A77"/>
    <w:rsid w:val="000A06F4"/>
    <w:rsid w:val="000A06F5"/>
    <w:rsid w:val="000A0911"/>
    <w:rsid w:val="000A1081"/>
    <w:rsid w:val="000A1F8C"/>
    <w:rsid w:val="000A20A7"/>
    <w:rsid w:val="000A261D"/>
    <w:rsid w:val="000A2869"/>
    <w:rsid w:val="000A29ED"/>
    <w:rsid w:val="000A2A5D"/>
    <w:rsid w:val="000A2E62"/>
    <w:rsid w:val="000A326B"/>
    <w:rsid w:val="000A3734"/>
    <w:rsid w:val="000A3AB5"/>
    <w:rsid w:val="000A3D0F"/>
    <w:rsid w:val="000A46D4"/>
    <w:rsid w:val="000A4DC6"/>
    <w:rsid w:val="000A4F3F"/>
    <w:rsid w:val="000A4F88"/>
    <w:rsid w:val="000A506A"/>
    <w:rsid w:val="000A50F5"/>
    <w:rsid w:val="000A5370"/>
    <w:rsid w:val="000A53B9"/>
    <w:rsid w:val="000A5AC8"/>
    <w:rsid w:val="000A5AF9"/>
    <w:rsid w:val="000A5BAB"/>
    <w:rsid w:val="000A6117"/>
    <w:rsid w:val="000A6201"/>
    <w:rsid w:val="000A6844"/>
    <w:rsid w:val="000A6A9C"/>
    <w:rsid w:val="000A6D77"/>
    <w:rsid w:val="000A726F"/>
    <w:rsid w:val="000A73A2"/>
    <w:rsid w:val="000A7604"/>
    <w:rsid w:val="000A7813"/>
    <w:rsid w:val="000A7974"/>
    <w:rsid w:val="000A79CA"/>
    <w:rsid w:val="000A7EA0"/>
    <w:rsid w:val="000B037C"/>
    <w:rsid w:val="000B050B"/>
    <w:rsid w:val="000B0946"/>
    <w:rsid w:val="000B1546"/>
    <w:rsid w:val="000B1701"/>
    <w:rsid w:val="000B1F4F"/>
    <w:rsid w:val="000B21E4"/>
    <w:rsid w:val="000B227F"/>
    <w:rsid w:val="000B22C3"/>
    <w:rsid w:val="000B2468"/>
    <w:rsid w:val="000B268C"/>
    <w:rsid w:val="000B2B89"/>
    <w:rsid w:val="000B2B8D"/>
    <w:rsid w:val="000B2D19"/>
    <w:rsid w:val="000B3B9F"/>
    <w:rsid w:val="000B3C03"/>
    <w:rsid w:val="000B404E"/>
    <w:rsid w:val="000B4988"/>
    <w:rsid w:val="000B4C24"/>
    <w:rsid w:val="000B4ED7"/>
    <w:rsid w:val="000B5116"/>
    <w:rsid w:val="000B5577"/>
    <w:rsid w:val="000B65DE"/>
    <w:rsid w:val="000B683E"/>
    <w:rsid w:val="000B70FA"/>
    <w:rsid w:val="000B755C"/>
    <w:rsid w:val="000B7914"/>
    <w:rsid w:val="000B7B75"/>
    <w:rsid w:val="000B7E2A"/>
    <w:rsid w:val="000C04D0"/>
    <w:rsid w:val="000C0578"/>
    <w:rsid w:val="000C0832"/>
    <w:rsid w:val="000C08D7"/>
    <w:rsid w:val="000C0C99"/>
    <w:rsid w:val="000C1291"/>
    <w:rsid w:val="000C14EB"/>
    <w:rsid w:val="000C3081"/>
    <w:rsid w:val="000C30DB"/>
    <w:rsid w:val="000C3492"/>
    <w:rsid w:val="000C36A7"/>
    <w:rsid w:val="000C36D1"/>
    <w:rsid w:val="000C3781"/>
    <w:rsid w:val="000C4265"/>
    <w:rsid w:val="000C4B0D"/>
    <w:rsid w:val="000C4C1A"/>
    <w:rsid w:val="000C4F67"/>
    <w:rsid w:val="000C514B"/>
    <w:rsid w:val="000C52AD"/>
    <w:rsid w:val="000C56B0"/>
    <w:rsid w:val="000C5E39"/>
    <w:rsid w:val="000C6219"/>
    <w:rsid w:val="000C6470"/>
    <w:rsid w:val="000C6492"/>
    <w:rsid w:val="000C7488"/>
    <w:rsid w:val="000C7805"/>
    <w:rsid w:val="000C78F9"/>
    <w:rsid w:val="000C79F7"/>
    <w:rsid w:val="000C7EDB"/>
    <w:rsid w:val="000C7F13"/>
    <w:rsid w:val="000D01DF"/>
    <w:rsid w:val="000D02E8"/>
    <w:rsid w:val="000D0A1B"/>
    <w:rsid w:val="000D14F6"/>
    <w:rsid w:val="000D1A7E"/>
    <w:rsid w:val="000D1CE2"/>
    <w:rsid w:val="000D1E32"/>
    <w:rsid w:val="000D1EF0"/>
    <w:rsid w:val="000D2266"/>
    <w:rsid w:val="000D2272"/>
    <w:rsid w:val="000D26C3"/>
    <w:rsid w:val="000D289B"/>
    <w:rsid w:val="000D2A49"/>
    <w:rsid w:val="000D2A73"/>
    <w:rsid w:val="000D38FA"/>
    <w:rsid w:val="000D3A96"/>
    <w:rsid w:val="000D3B1B"/>
    <w:rsid w:val="000D41E3"/>
    <w:rsid w:val="000D48A0"/>
    <w:rsid w:val="000D5749"/>
    <w:rsid w:val="000D601F"/>
    <w:rsid w:val="000D6112"/>
    <w:rsid w:val="000D680B"/>
    <w:rsid w:val="000D69EA"/>
    <w:rsid w:val="000D6EEC"/>
    <w:rsid w:val="000D73D2"/>
    <w:rsid w:val="000D7472"/>
    <w:rsid w:val="000D787D"/>
    <w:rsid w:val="000D7C5C"/>
    <w:rsid w:val="000D7ECD"/>
    <w:rsid w:val="000E11D3"/>
    <w:rsid w:val="000E1B84"/>
    <w:rsid w:val="000E1BA3"/>
    <w:rsid w:val="000E295A"/>
    <w:rsid w:val="000E2ADD"/>
    <w:rsid w:val="000E2B82"/>
    <w:rsid w:val="000E2D1A"/>
    <w:rsid w:val="000E3193"/>
    <w:rsid w:val="000E3605"/>
    <w:rsid w:val="000E3C9C"/>
    <w:rsid w:val="000E4370"/>
    <w:rsid w:val="000E4997"/>
    <w:rsid w:val="000E4B9E"/>
    <w:rsid w:val="000E4F2E"/>
    <w:rsid w:val="000E5390"/>
    <w:rsid w:val="000E5789"/>
    <w:rsid w:val="000E6355"/>
    <w:rsid w:val="000E63FA"/>
    <w:rsid w:val="000E64FC"/>
    <w:rsid w:val="000E65C5"/>
    <w:rsid w:val="000E6910"/>
    <w:rsid w:val="000E6D1D"/>
    <w:rsid w:val="000E6EC5"/>
    <w:rsid w:val="000E7036"/>
    <w:rsid w:val="000E7523"/>
    <w:rsid w:val="000E7682"/>
    <w:rsid w:val="000E7F3E"/>
    <w:rsid w:val="000F0044"/>
    <w:rsid w:val="000F058A"/>
    <w:rsid w:val="000F13FA"/>
    <w:rsid w:val="000F1896"/>
    <w:rsid w:val="000F1BC0"/>
    <w:rsid w:val="000F2772"/>
    <w:rsid w:val="000F28A6"/>
    <w:rsid w:val="000F2F36"/>
    <w:rsid w:val="000F3419"/>
    <w:rsid w:val="000F3456"/>
    <w:rsid w:val="000F34AC"/>
    <w:rsid w:val="000F386D"/>
    <w:rsid w:val="000F3F9F"/>
    <w:rsid w:val="000F4270"/>
    <w:rsid w:val="000F4722"/>
    <w:rsid w:val="000F4BBB"/>
    <w:rsid w:val="000F50A6"/>
    <w:rsid w:val="000F53A3"/>
    <w:rsid w:val="000F53B6"/>
    <w:rsid w:val="000F6143"/>
    <w:rsid w:val="000F621B"/>
    <w:rsid w:val="000F7234"/>
    <w:rsid w:val="000F7544"/>
    <w:rsid w:val="00100045"/>
    <w:rsid w:val="001009C2"/>
    <w:rsid w:val="00100AFB"/>
    <w:rsid w:val="00100E0F"/>
    <w:rsid w:val="00102401"/>
    <w:rsid w:val="001025F7"/>
    <w:rsid w:val="001029E2"/>
    <w:rsid w:val="00102A9D"/>
    <w:rsid w:val="00102E6F"/>
    <w:rsid w:val="00103037"/>
    <w:rsid w:val="001046D3"/>
    <w:rsid w:val="0010495C"/>
    <w:rsid w:val="001055B7"/>
    <w:rsid w:val="00105C65"/>
    <w:rsid w:val="0010635E"/>
    <w:rsid w:val="00106400"/>
    <w:rsid w:val="00106508"/>
    <w:rsid w:val="001067BD"/>
    <w:rsid w:val="0010681D"/>
    <w:rsid w:val="001068E3"/>
    <w:rsid w:val="001069D1"/>
    <w:rsid w:val="00106FA2"/>
    <w:rsid w:val="001071D5"/>
    <w:rsid w:val="001072A0"/>
    <w:rsid w:val="0010732A"/>
    <w:rsid w:val="001074EC"/>
    <w:rsid w:val="0010757E"/>
    <w:rsid w:val="0010766C"/>
    <w:rsid w:val="0011113E"/>
    <w:rsid w:val="0011143F"/>
    <w:rsid w:val="00111B8E"/>
    <w:rsid w:val="00111D39"/>
    <w:rsid w:val="0011215C"/>
    <w:rsid w:val="00112288"/>
    <w:rsid w:val="001124AA"/>
    <w:rsid w:val="001124B4"/>
    <w:rsid w:val="0011322D"/>
    <w:rsid w:val="00113242"/>
    <w:rsid w:val="0011327A"/>
    <w:rsid w:val="00113526"/>
    <w:rsid w:val="001135A9"/>
    <w:rsid w:val="00113A65"/>
    <w:rsid w:val="001147B6"/>
    <w:rsid w:val="00114A09"/>
    <w:rsid w:val="00114AB5"/>
    <w:rsid w:val="00114CBA"/>
    <w:rsid w:val="001156A6"/>
    <w:rsid w:val="00115953"/>
    <w:rsid w:val="00115ED3"/>
    <w:rsid w:val="0011701F"/>
    <w:rsid w:val="001173E2"/>
    <w:rsid w:val="00117582"/>
    <w:rsid w:val="0011772F"/>
    <w:rsid w:val="0011777A"/>
    <w:rsid w:val="00117E0C"/>
    <w:rsid w:val="00117E23"/>
    <w:rsid w:val="001209DC"/>
    <w:rsid w:val="00120D07"/>
    <w:rsid w:val="00120EE7"/>
    <w:rsid w:val="001210E4"/>
    <w:rsid w:val="001219C1"/>
    <w:rsid w:val="00121EE3"/>
    <w:rsid w:val="001224F8"/>
    <w:rsid w:val="001227B6"/>
    <w:rsid w:val="001228A9"/>
    <w:rsid w:val="001229E7"/>
    <w:rsid w:val="00122C3A"/>
    <w:rsid w:val="00122CF2"/>
    <w:rsid w:val="0012308C"/>
    <w:rsid w:val="00123130"/>
    <w:rsid w:val="001233D9"/>
    <w:rsid w:val="00123A4F"/>
    <w:rsid w:val="00123E2F"/>
    <w:rsid w:val="001242CB"/>
    <w:rsid w:val="0012470B"/>
    <w:rsid w:val="00124CCB"/>
    <w:rsid w:val="00124F1A"/>
    <w:rsid w:val="0012509E"/>
    <w:rsid w:val="00125431"/>
    <w:rsid w:val="00125596"/>
    <w:rsid w:val="00125C91"/>
    <w:rsid w:val="0012640C"/>
    <w:rsid w:val="0012686A"/>
    <w:rsid w:val="0012694E"/>
    <w:rsid w:val="00126E77"/>
    <w:rsid w:val="001271CA"/>
    <w:rsid w:val="00127347"/>
    <w:rsid w:val="0012768F"/>
    <w:rsid w:val="00127853"/>
    <w:rsid w:val="0012798B"/>
    <w:rsid w:val="00127AC5"/>
    <w:rsid w:val="001305EA"/>
    <w:rsid w:val="00130AE3"/>
    <w:rsid w:val="00130DAD"/>
    <w:rsid w:val="0013140D"/>
    <w:rsid w:val="00131734"/>
    <w:rsid w:val="00131A4A"/>
    <w:rsid w:val="00131BE3"/>
    <w:rsid w:val="00132516"/>
    <w:rsid w:val="00132AAD"/>
    <w:rsid w:val="00133597"/>
    <w:rsid w:val="001335AC"/>
    <w:rsid w:val="00133C4E"/>
    <w:rsid w:val="00134426"/>
    <w:rsid w:val="0013486F"/>
    <w:rsid w:val="00134B16"/>
    <w:rsid w:val="00134B6E"/>
    <w:rsid w:val="00134FAA"/>
    <w:rsid w:val="0013509D"/>
    <w:rsid w:val="0013510B"/>
    <w:rsid w:val="00135133"/>
    <w:rsid w:val="0013559F"/>
    <w:rsid w:val="00135977"/>
    <w:rsid w:val="00136038"/>
    <w:rsid w:val="001369F1"/>
    <w:rsid w:val="00136A9B"/>
    <w:rsid w:val="00137579"/>
    <w:rsid w:val="001403E5"/>
    <w:rsid w:val="001404CB"/>
    <w:rsid w:val="00140951"/>
    <w:rsid w:val="00140E98"/>
    <w:rsid w:val="00140F1D"/>
    <w:rsid w:val="00141106"/>
    <w:rsid w:val="00141625"/>
    <w:rsid w:val="001423E9"/>
    <w:rsid w:val="001426E4"/>
    <w:rsid w:val="0014305F"/>
    <w:rsid w:val="00143B1F"/>
    <w:rsid w:val="00143C65"/>
    <w:rsid w:val="00143E2F"/>
    <w:rsid w:val="00143E59"/>
    <w:rsid w:val="001443D5"/>
    <w:rsid w:val="0014492B"/>
    <w:rsid w:val="00144A80"/>
    <w:rsid w:val="00145656"/>
    <w:rsid w:val="001459FA"/>
    <w:rsid w:val="00145A4E"/>
    <w:rsid w:val="00145A61"/>
    <w:rsid w:val="00145E95"/>
    <w:rsid w:val="00145EF2"/>
    <w:rsid w:val="00146396"/>
    <w:rsid w:val="00147867"/>
    <w:rsid w:val="001500C0"/>
    <w:rsid w:val="0015015B"/>
    <w:rsid w:val="00150186"/>
    <w:rsid w:val="001504BA"/>
    <w:rsid w:val="0015064D"/>
    <w:rsid w:val="001507F8"/>
    <w:rsid w:val="0015093C"/>
    <w:rsid w:val="00150A86"/>
    <w:rsid w:val="00150E15"/>
    <w:rsid w:val="00151029"/>
    <w:rsid w:val="001511BD"/>
    <w:rsid w:val="0015135C"/>
    <w:rsid w:val="001517DA"/>
    <w:rsid w:val="00151A98"/>
    <w:rsid w:val="00151BBF"/>
    <w:rsid w:val="00151FE0"/>
    <w:rsid w:val="001520C9"/>
    <w:rsid w:val="001528FC"/>
    <w:rsid w:val="001529C2"/>
    <w:rsid w:val="00152A61"/>
    <w:rsid w:val="00152AD4"/>
    <w:rsid w:val="00152E48"/>
    <w:rsid w:val="00153280"/>
    <w:rsid w:val="00153489"/>
    <w:rsid w:val="00153788"/>
    <w:rsid w:val="001537DC"/>
    <w:rsid w:val="00153BF0"/>
    <w:rsid w:val="00153D39"/>
    <w:rsid w:val="00154352"/>
    <w:rsid w:val="001546C7"/>
    <w:rsid w:val="0015505E"/>
    <w:rsid w:val="0015615E"/>
    <w:rsid w:val="001562E6"/>
    <w:rsid w:val="001565EB"/>
    <w:rsid w:val="00156D76"/>
    <w:rsid w:val="00156DCD"/>
    <w:rsid w:val="001575FE"/>
    <w:rsid w:val="0015793C"/>
    <w:rsid w:val="00157941"/>
    <w:rsid w:val="00157B65"/>
    <w:rsid w:val="00157F18"/>
    <w:rsid w:val="001600B3"/>
    <w:rsid w:val="00160485"/>
    <w:rsid w:val="00160827"/>
    <w:rsid w:val="001608D0"/>
    <w:rsid w:val="00160D19"/>
    <w:rsid w:val="00161343"/>
    <w:rsid w:val="0016192B"/>
    <w:rsid w:val="00161ADE"/>
    <w:rsid w:val="00161E60"/>
    <w:rsid w:val="001627D8"/>
    <w:rsid w:val="001627F9"/>
    <w:rsid w:val="00162889"/>
    <w:rsid w:val="001628EA"/>
    <w:rsid w:val="00162C82"/>
    <w:rsid w:val="00162E36"/>
    <w:rsid w:val="00162F5C"/>
    <w:rsid w:val="00162FE0"/>
    <w:rsid w:val="00163ECB"/>
    <w:rsid w:val="001644CA"/>
    <w:rsid w:val="001648CD"/>
    <w:rsid w:val="001649CD"/>
    <w:rsid w:val="00164EC7"/>
    <w:rsid w:val="001651E2"/>
    <w:rsid w:val="00165EE8"/>
    <w:rsid w:val="00166B89"/>
    <w:rsid w:val="00166BB6"/>
    <w:rsid w:val="00166CDA"/>
    <w:rsid w:val="00166EC2"/>
    <w:rsid w:val="00166F2D"/>
    <w:rsid w:val="00167180"/>
    <w:rsid w:val="00167245"/>
    <w:rsid w:val="00167610"/>
    <w:rsid w:val="00167684"/>
    <w:rsid w:val="001677C0"/>
    <w:rsid w:val="00167C58"/>
    <w:rsid w:val="00167C5D"/>
    <w:rsid w:val="00167F0C"/>
    <w:rsid w:val="001708A2"/>
    <w:rsid w:val="001712B1"/>
    <w:rsid w:val="00171497"/>
    <w:rsid w:val="00171588"/>
    <w:rsid w:val="001715D2"/>
    <w:rsid w:val="001715D3"/>
    <w:rsid w:val="00171C0B"/>
    <w:rsid w:val="00171FD2"/>
    <w:rsid w:val="001726C1"/>
    <w:rsid w:val="00172703"/>
    <w:rsid w:val="00172981"/>
    <w:rsid w:val="00173490"/>
    <w:rsid w:val="0017373B"/>
    <w:rsid w:val="00173879"/>
    <w:rsid w:val="00173D4F"/>
    <w:rsid w:val="00174E97"/>
    <w:rsid w:val="00176172"/>
    <w:rsid w:val="00176781"/>
    <w:rsid w:val="001768C6"/>
    <w:rsid w:val="001769CF"/>
    <w:rsid w:val="001770A2"/>
    <w:rsid w:val="0017749B"/>
    <w:rsid w:val="001775B5"/>
    <w:rsid w:val="00180032"/>
    <w:rsid w:val="001807F4"/>
    <w:rsid w:val="00180E0F"/>
    <w:rsid w:val="0018138B"/>
    <w:rsid w:val="001814BF"/>
    <w:rsid w:val="0018177F"/>
    <w:rsid w:val="001817ED"/>
    <w:rsid w:val="00181A52"/>
    <w:rsid w:val="00181A8F"/>
    <w:rsid w:val="00182236"/>
    <w:rsid w:val="0018228A"/>
    <w:rsid w:val="00182EF8"/>
    <w:rsid w:val="0018339E"/>
    <w:rsid w:val="0018364F"/>
    <w:rsid w:val="00183CBC"/>
    <w:rsid w:val="00183E85"/>
    <w:rsid w:val="0018429A"/>
    <w:rsid w:val="001847F0"/>
    <w:rsid w:val="00185426"/>
    <w:rsid w:val="001854C6"/>
    <w:rsid w:val="00185F2A"/>
    <w:rsid w:val="00185F50"/>
    <w:rsid w:val="001861A4"/>
    <w:rsid w:val="0018631C"/>
    <w:rsid w:val="00186437"/>
    <w:rsid w:val="00186AB6"/>
    <w:rsid w:val="00187133"/>
    <w:rsid w:val="00187135"/>
    <w:rsid w:val="001874FC"/>
    <w:rsid w:val="00187706"/>
    <w:rsid w:val="00187A5F"/>
    <w:rsid w:val="00187E21"/>
    <w:rsid w:val="00190BF6"/>
    <w:rsid w:val="00190F4C"/>
    <w:rsid w:val="001911BA"/>
    <w:rsid w:val="00191377"/>
    <w:rsid w:val="001916E5"/>
    <w:rsid w:val="001917DC"/>
    <w:rsid w:val="00191A16"/>
    <w:rsid w:val="00191EE7"/>
    <w:rsid w:val="0019346A"/>
    <w:rsid w:val="001937F6"/>
    <w:rsid w:val="00193ADB"/>
    <w:rsid w:val="00193B43"/>
    <w:rsid w:val="00193FF1"/>
    <w:rsid w:val="00193FF5"/>
    <w:rsid w:val="0019409A"/>
    <w:rsid w:val="00194201"/>
    <w:rsid w:val="0019425F"/>
    <w:rsid w:val="0019446A"/>
    <w:rsid w:val="001945C6"/>
    <w:rsid w:val="001948AC"/>
    <w:rsid w:val="001948BF"/>
    <w:rsid w:val="00194F8A"/>
    <w:rsid w:val="00195593"/>
    <w:rsid w:val="001956A4"/>
    <w:rsid w:val="00195D6D"/>
    <w:rsid w:val="0019620F"/>
    <w:rsid w:val="00196DEB"/>
    <w:rsid w:val="00196E96"/>
    <w:rsid w:val="00196F43"/>
    <w:rsid w:val="00197053"/>
    <w:rsid w:val="001970AD"/>
    <w:rsid w:val="001972F3"/>
    <w:rsid w:val="00197C2E"/>
    <w:rsid w:val="00197DDE"/>
    <w:rsid w:val="00197F67"/>
    <w:rsid w:val="001A0189"/>
    <w:rsid w:val="001A104D"/>
    <w:rsid w:val="001A10CC"/>
    <w:rsid w:val="001A13DD"/>
    <w:rsid w:val="001A17C4"/>
    <w:rsid w:val="001A1800"/>
    <w:rsid w:val="001A1C89"/>
    <w:rsid w:val="001A201D"/>
    <w:rsid w:val="001A2209"/>
    <w:rsid w:val="001A2560"/>
    <w:rsid w:val="001A2A1B"/>
    <w:rsid w:val="001A2E5E"/>
    <w:rsid w:val="001A2F37"/>
    <w:rsid w:val="001A31FA"/>
    <w:rsid w:val="001A3CAD"/>
    <w:rsid w:val="001A487E"/>
    <w:rsid w:val="001A4B7A"/>
    <w:rsid w:val="001A4C30"/>
    <w:rsid w:val="001A4D78"/>
    <w:rsid w:val="001A52D4"/>
    <w:rsid w:val="001A53B0"/>
    <w:rsid w:val="001A53DF"/>
    <w:rsid w:val="001A5868"/>
    <w:rsid w:val="001A59B5"/>
    <w:rsid w:val="001A6159"/>
    <w:rsid w:val="001A6235"/>
    <w:rsid w:val="001A6301"/>
    <w:rsid w:val="001A71A4"/>
    <w:rsid w:val="001A7230"/>
    <w:rsid w:val="001A7850"/>
    <w:rsid w:val="001B1559"/>
    <w:rsid w:val="001B161B"/>
    <w:rsid w:val="001B2C3B"/>
    <w:rsid w:val="001B39BD"/>
    <w:rsid w:val="001B3CA9"/>
    <w:rsid w:val="001B3E60"/>
    <w:rsid w:val="001B3E9D"/>
    <w:rsid w:val="001B4ABB"/>
    <w:rsid w:val="001B4B68"/>
    <w:rsid w:val="001B4F41"/>
    <w:rsid w:val="001B557C"/>
    <w:rsid w:val="001B5A9C"/>
    <w:rsid w:val="001B5E60"/>
    <w:rsid w:val="001B61D8"/>
    <w:rsid w:val="001B68E0"/>
    <w:rsid w:val="001B6EA9"/>
    <w:rsid w:val="001B70AF"/>
    <w:rsid w:val="001B722D"/>
    <w:rsid w:val="001B72AE"/>
    <w:rsid w:val="001B7749"/>
    <w:rsid w:val="001C054D"/>
    <w:rsid w:val="001C1216"/>
    <w:rsid w:val="001C13F9"/>
    <w:rsid w:val="001C14C6"/>
    <w:rsid w:val="001C175B"/>
    <w:rsid w:val="001C1BD5"/>
    <w:rsid w:val="001C1C4A"/>
    <w:rsid w:val="001C1CDE"/>
    <w:rsid w:val="001C23BD"/>
    <w:rsid w:val="001C24F1"/>
    <w:rsid w:val="001C2584"/>
    <w:rsid w:val="001C2887"/>
    <w:rsid w:val="001C330C"/>
    <w:rsid w:val="001C33E8"/>
    <w:rsid w:val="001C3594"/>
    <w:rsid w:val="001C38FD"/>
    <w:rsid w:val="001C3F9F"/>
    <w:rsid w:val="001C4188"/>
    <w:rsid w:val="001C43C3"/>
    <w:rsid w:val="001C4B00"/>
    <w:rsid w:val="001C4D7B"/>
    <w:rsid w:val="001C539D"/>
    <w:rsid w:val="001C5439"/>
    <w:rsid w:val="001C55AB"/>
    <w:rsid w:val="001C5778"/>
    <w:rsid w:val="001C5EE5"/>
    <w:rsid w:val="001C5F50"/>
    <w:rsid w:val="001C5F6E"/>
    <w:rsid w:val="001C6200"/>
    <w:rsid w:val="001C6BCF"/>
    <w:rsid w:val="001C7452"/>
    <w:rsid w:val="001C753F"/>
    <w:rsid w:val="001C770F"/>
    <w:rsid w:val="001C790B"/>
    <w:rsid w:val="001C7CA4"/>
    <w:rsid w:val="001C7E18"/>
    <w:rsid w:val="001C7F99"/>
    <w:rsid w:val="001C7FEB"/>
    <w:rsid w:val="001D0165"/>
    <w:rsid w:val="001D04D2"/>
    <w:rsid w:val="001D067F"/>
    <w:rsid w:val="001D0802"/>
    <w:rsid w:val="001D09DD"/>
    <w:rsid w:val="001D0C9D"/>
    <w:rsid w:val="001D0E29"/>
    <w:rsid w:val="001D1455"/>
    <w:rsid w:val="001D193A"/>
    <w:rsid w:val="001D1A17"/>
    <w:rsid w:val="001D1A49"/>
    <w:rsid w:val="001D2A45"/>
    <w:rsid w:val="001D2E5C"/>
    <w:rsid w:val="001D2E91"/>
    <w:rsid w:val="001D2F68"/>
    <w:rsid w:val="001D323F"/>
    <w:rsid w:val="001D360A"/>
    <w:rsid w:val="001D36A5"/>
    <w:rsid w:val="001D3E57"/>
    <w:rsid w:val="001D4070"/>
    <w:rsid w:val="001D4096"/>
    <w:rsid w:val="001D44A5"/>
    <w:rsid w:val="001D4AB6"/>
    <w:rsid w:val="001D503E"/>
    <w:rsid w:val="001D5429"/>
    <w:rsid w:val="001D5449"/>
    <w:rsid w:val="001D5CF2"/>
    <w:rsid w:val="001D6224"/>
    <w:rsid w:val="001D641D"/>
    <w:rsid w:val="001D6764"/>
    <w:rsid w:val="001D68DF"/>
    <w:rsid w:val="001D69CF"/>
    <w:rsid w:val="001D6D02"/>
    <w:rsid w:val="001D715D"/>
    <w:rsid w:val="001D71D1"/>
    <w:rsid w:val="001D7BD0"/>
    <w:rsid w:val="001E00E2"/>
    <w:rsid w:val="001E0850"/>
    <w:rsid w:val="001E093A"/>
    <w:rsid w:val="001E0B0B"/>
    <w:rsid w:val="001E0F20"/>
    <w:rsid w:val="001E0F73"/>
    <w:rsid w:val="001E11BA"/>
    <w:rsid w:val="001E168C"/>
    <w:rsid w:val="001E178B"/>
    <w:rsid w:val="001E18DA"/>
    <w:rsid w:val="001E1B9C"/>
    <w:rsid w:val="001E1BD8"/>
    <w:rsid w:val="001E1C15"/>
    <w:rsid w:val="001E2211"/>
    <w:rsid w:val="001E24A4"/>
    <w:rsid w:val="001E2BF3"/>
    <w:rsid w:val="001E3011"/>
    <w:rsid w:val="001E35F5"/>
    <w:rsid w:val="001E3B3E"/>
    <w:rsid w:val="001E3DA6"/>
    <w:rsid w:val="001E4367"/>
    <w:rsid w:val="001E439E"/>
    <w:rsid w:val="001E46FC"/>
    <w:rsid w:val="001E4C01"/>
    <w:rsid w:val="001E510A"/>
    <w:rsid w:val="001E5AD1"/>
    <w:rsid w:val="001E5AEB"/>
    <w:rsid w:val="001E5D45"/>
    <w:rsid w:val="001E5F38"/>
    <w:rsid w:val="001E632E"/>
    <w:rsid w:val="001E6900"/>
    <w:rsid w:val="001E7059"/>
    <w:rsid w:val="001E74F1"/>
    <w:rsid w:val="001E7895"/>
    <w:rsid w:val="001E7B72"/>
    <w:rsid w:val="001F00D7"/>
    <w:rsid w:val="001F04E4"/>
    <w:rsid w:val="001F0821"/>
    <w:rsid w:val="001F08D9"/>
    <w:rsid w:val="001F0BF9"/>
    <w:rsid w:val="001F0D22"/>
    <w:rsid w:val="001F0DBB"/>
    <w:rsid w:val="001F132D"/>
    <w:rsid w:val="001F134C"/>
    <w:rsid w:val="001F15FA"/>
    <w:rsid w:val="001F1C7B"/>
    <w:rsid w:val="001F1CBF"/>
    <w:rsid w:val="001F1F5F"/>
    <w:rsid w:val="001F21C3"/>
    <w:rsid w:val="001F2344"/>
    <w:rsid w:val="001F27C7"/>
    <w:rsid w:val="001F27D9"/>
    <w:rsid w:val="001F2865"/>
    <w:rsid w:val="001F2BF1"/>
    <w:rsid w:val="001F30F8"/>
    <w:rsid w:val="001F3273"/>
    <w:rsid w:val="001F362F"/>
    <w:rsid w:val="001F3921"/>
    <w:rsid w:val="001F3976"/>
    <w:rsid w:val="001F43C3"/>
    <w:rsid w:val="001F4F91"/>
    <w:rsid w:val="001F5271"/>
    <w:rsid w:val="001F5371"/>
    <w:rsid w:val="001F53FC"/>
    <w:rsid w:val="001F54EB"/>
    <w:rsid w:val="001F5540"/>
    <w:rsid w:val="001F5C90"/>
    <w:rsid w:val="001F5CF3"/>
    <w:rsid w:val="001F5E87"/>
    <w:rsid w:val="001F5ED7"/>
    <w:rsid w:val="001F5F0D"/>
    <w:rsid w:val="001F623D"/>
    <w:rsid w:val="001F62A3"/>
    <w:rsid w:val="001F6359"/>
    <w:rsid w:val="001F6486"/>
    <w:rsid w:val="001F6B2F"/>
    <w:rsid w:val="001F6BF1"/>
    <w:rsid w:val="001F6EFB"/>
    <w:rsid w:val="001F71AE"/>
    <w:rsid w:val="00200159"/>
    <w:rsid w:val="00200468"/>
    <w:rsid w:val="00200B48"/>
    <w:rsid w:val="00200B73"/>
    <w:rsid w:val="00200EA5"/>
    <w:rsid w:val="00201034"/>
    <w:rsid w:val="002015C1"/>
    <w:rsid w:val="00201D4A"/>
    <w:rsid w:val="002024DF"/>
    <w:rsid w:val="002028C2"/>
    <w:rsid w:val="0020294C"/>
    <w:rsid w:val="00202B20"/>
    <w:rsid w:val="0020308A"/>
    <w:rsid w:val="00203C97"/>
    <w:rsid w:val="0020494D"/>
    <w:rsid w:val="002050D0"/>
    <w:rsid w:val="002055C7"/>
    <w:rsid w:val="002056B7"/>
    <w:rsid w:val="002057BF"/>
    <w:rsid w:val="002059F8"/>
    <w:rsid w:val="00205B6B"/>
    <w:rsid w:val="00205EAC"/>
    <w:rsid w:val="00206336"/>
    <w:rsid w:val="002065F2"/>
    <w:rsid w:val="00206652"/>
    <w:rsid w:val="0020665D"/>
    <w:rsid w:val="00206804"/>
    <w:rsid w:val="00206BAE"/>
    <w:rsid w:val="00206BAF"/>
    <w:rsid w:val="00206F02"/>
    <w:rsid w:val="002071DB"/>
    <w:rsid w:val="002073E1"/>
    <w:rsid w:val="002073EC"/>
    <w:rsid w:val="00207628"/>
    <w:rsid w:val="002076B6"/>
    <w:rsid w:val="002076F2"/>
    <w:rsid w:val="00207A6F"/>
    <w:rsid w:val="00207E35"/>
    <w:rsid w:val="00207EC9"/>
    <w:rsid w:val="00207EE7"/>
    <w:rsid w:val="00210248"/>
    <w:rsid w:val="0021041B"/>
    <w:rsid w:val="00210A71"/>
    <w:rsid w:val="00211591"/>
    <w:rsid w:val="002117A5"/>
    <w:rsid w:val="002117F0"/>
    <w:rsid w:val="00211C97"/>
    <w:rsid w:val="002127DC"/>
    <w:rsid w:val="00213AF4"/>
    <w:rsid w:val="00214107"/>
    <w:rsid w:val="002144D8"/>
    <w:rsid w:val="002147B1"/>
    <w:rsid w:val="002148AC"/>
    <w:rsid w:val="00215041"/>
    <w:rsid w:val="002153EE"/>
    <w:rsid w:val="0021565D"/>
    <w:rsid w:val="00215723"/>
    <w:rsid w:val="00215817"/>
    <w:rsid w:val="0021592F"/>
    <w:rsid w:val="002167D9"/>
    <w:rsid w:val="00216E6F"/>
    <w:rsid w:val="002171AF"/>
    <w:rsid w:val="002176B6"/>
    <w:rsid w:val="00217851"/>
    <w:rsid w:val="002201E4"/>
    <w:rsid w:val="00220555"/>
    <w:rsid w:val="00220558"/>
    <w:rsid w:val="00220589"/>
    <w:rsid w:val="002205F6"/>
    <w:rsid w:val="0022072A"/>
    <w:rsid w:val="00220B52"/>
    <w:rsid w:val="00220C12"/>
    <w:rsid w:val="002211AF"/>
    <w:rsid w:val="00221444"/>
    <w:rsid w:val="0022165F"/>
    <w:rsid w:val="0022179F"/>
    <w:rsid w:val="00221D63"/>
    <w:rsid w:val="00222456"/>
    <w:rsid w:val="00222B90"/>
    <w:rsid w:val="00222C5B"/>
    <w:rsid w:val="00223123"/>
    <w:rsid w:val="00223448"/>
    <w:rsid w:val="00223520"/>
    <w:rsid w:val="002235CF"/>
    <w:rsid w:val="00223655"/>
    <w:rsid w:val="0022390B"/>
    <w:rsid w:val="00223EFB"/>
    <w:rsid w:val="00224569"/>
    <w:rsid w:val="00224721"/>
    <w:rsid w:val="002250D7"/>
    <w:rsid w:val="00225577"/>
    <w:rsid w:val="002258F1"/>
    <w:rsid w:val="00225A55"/>
    <w:rsid w:val="00225BA6"/>
    <w:rsid w:val="002265E6"/>
    <w:rsid w:val="00226756"/>
    <w:rsid w:val="002267EA"/>
    <w:rsid w:val="00226955"/>
    <w:rsid w:val="002269CE"/>
    <w:rsid w:val="00226BAC"/>
    <w:rsid w:val="00227571"/>
    <w:rsid w:val="00227C46"/>
    <w:rsid w:val="00227E60"/>
    <w:rsid w:val="00230637"/>
    <w:rsid w:val="00230BF7"/>
    <w:rsid w:val="00231075"/>
    <w:rsid w:val="00231195"/>
    <w:rsid w:val="00231875"/>
    <w:rsid w:val="0023190A"/>
    <w:rsid w:val="00232578"/>
    <w:rsid w:val="002329F7"/>
    <w:rsid w:val="0023317E"/>
    <w:rsid w:val="002335F0"/>
    <w:rsid w:val="00234109"/>
    <w:rsid w:val="0023433D"/>
    <w:rsid w:val="0023438C"/>
    <w:rsid w:val="00234391"/>
    <w:rsid w:val="002343B5"/>
    <w:rsid w:val="002343CA"/>
    <w:rsid w:val="0023508D"/>
    <w:rsid w:val="0023575E"/>
    <w:rsid w:val="002357A3"/>
    <w:rsid w:val="00236687"/>
    <w:rsid w:val="00236A8A"/>
    <w:rsid w:val="00236B5F"/>
    <w:rsid w:val="00237048"/>
    <w:rsid w:val="00237979"/>
    <w:rsid w:val="00237AA1"/>
    <w:rsid w:val="00237AD9"/>
    <w:rsid w:val="002402A2"/>
    <w:rsid w:val="0024031E"/>
    <w:rsid w:val="002403CA"/>
    <w:rsid w:val="00240610"/>
    <w:rsid w:val="00240A91"/>
    <w:rsid w:val="00240CDB"/>
    <w:rsid w:val="002414F5"/>
    <w:rsid w:val="002415E1"/>
    <w:rsid w:val="002418E6"/>
    <w:rsid w:val="00241E92"/>
    <w:rsid w:val="00242A73"/>
    <w:rsid w:val="00242D11"/>
    <w:rsid w:val="002431E9"/>
    <w:rsid w:val="00243207"/>
    <w:rsid w:val="002432B4"/>
    <w:rsid w:val="002436B4"/>
    <w:rsid w:val="00243A9F"/>
    <w:rsid w:val="00243D19"/>
    <w:rsid w:val="00243D59"/>
    <w:rsid w:val="00244009"/>
    <w:rsid w:val="002440D7"/>
    <w:rsid w:val="00244415"/>
    <w:rsid w:val="002445E6"/>
    <w:rsid w:val="00244849"/>
    <w:rsid w:val="00244856"/>
    <w:rsid w:val="00244919"/>
    <w:rsid w:val="00244AE8"/>
    <w:rsid w:val="00244CC8"/>
    <w:rsid w:val="00244D4B"/>
    <w:rsid w:val="00245231"/>
    <w:rsid w:val="0024528D"/>
    <w:rsid w:val="00245531"/>
    <w:rsid w:val="002457F1"/>
    <w:rsid w:val="00245F2B"/>
    <w:rsid w:val="00245F53"/>
    <w:rsid w:val="00245FBF"/>
    <w:rsid w:val="00246082"/>
    <w:rsid w:val="00246169"/>
    <w:rsid w:val="00246AE7"/>
    <w:rsid w:val="002471AF"/>
    <w:rsid w:val="00247BA9"/>
    <w:rsid w:val="00247F00"/>
    <w:rsid w:val="00250081"/>
    <w:rsid w:val="00250CA7"/>
    <w:rsid w:val="00250FCB"/>
    <w:rsid w:val="002511F3"/>
    <w:rsid w:val="00251AC9"/>
    <w:rsid w:val="00251B33"/>
    <w:rsid w:val="00251D03"/>
    <w:rsid w:val="00251FBC"/>
    <w:rsid w:val="0025257C"/>
    <w:rsid w:val="0025295C"/>
    <w:rsid w:val="00252B2D"/>
    <w:rsid w:val="00252C7C"/>
    <w:rsid w:val="00252EC4"/>
    <w:rsid w:val="002535D1"/>
    <w:rsid w:val="00253DEF"/>
    <w:rsid w:val="002542B6"/>
    <w:rsid w:val="0025452F"/>
    <w:rsid w:val="00254CFE"/>
    <w:rsid w:val="00255393"/>
    <w:rsid w:val="00255C3C"/>
    <w:rsid w:val="00255EE6"/>
    <w:rsid w:val="00256645"/>
    <w:rsid w:val="0025675D"/>
    <w:rsid w:val="00256CCF"/>
    <w:rsid w:val="00256F5C"/>
    <w:rsid w:val="002579DE"/>
    <w:rsid w:val="00257B8B"/>
    <w:rsid w:val="002600D6"/>
    <w:rsid w:val="002600F3"/>
    <w:rsid w:val="00260AC4"/>
    <w:rsid w:val="00260EC3"/>
    <w:rsid w:val="00260F1B"/>
    <w:rsid w:val="00261199"/>
    <w:rsid w:val="00261436"/>
    <w:rsid w:val="00261B77"/>
    <w:rsid w:val="00261D2A"/>
    <w:rsid w:val="00262AF4"/>
    <w:rsid w:val="00262E09"/>
    <w:rsid w:val="0026363B"/>
    <w:rsid w:val="00263C9F"/>
    <w:rsid w:val="00264006"/>
    <w:rsid w:val="00264DB0"/>
    <w:rsid w:val="00265120"/>
    <w:rsid w:val="00265C0E"/>
    <w:rsid w:val="00265C94"/>
    <w:rsid w:val="00265CD1"/>
    <w:rsid w:val="00265DCD"/>
    <w:rsid w:val="00265F5A"/>
    <w:rsid w:val="00266A8F"/>
    <w:rsid w:val="00266B14"/>
    <w:rsid w:val="00266BDC"/>
    <w:rsid w:val="00266C06"/>
    <w:rsid w:val="00266FC6"/>
    <w:rsid w:val="00267445"/>
    <w:rsid w:val="00267541"/>
    <w:rsid w:val="00267632"/>
    <w:rsid w:val="0026790D"/>
    <w:rsid w:val="00267988"/>
    <w:rsid w:val="00267B07"/>
    <w:rsid w:val="00270796"/>
    <w:rsid w:val="002709CD"/>
    <w:rsid w:val="0027119B"/>
    <w:rsid w:val="002719CA"/>
    <w:rsid w:val="00271BB9"/>
    <w:rsid w:val="00271C98"/>
    <w:rsid w:val="002723C9"/>
    <w:rsid w:val="002729AE"/>
    <w:rsid w:val="00272AFC"/>
    <w:rsid w:val="00272F24"/>
    <w:rsid w:val="00273031"/>
    <w:rsid w:val="002735EB"/>
    <w:rsid w:val="0027394C"/>
    <w:rsid w:val="00273C6B"/>
    <w:rsid w:val="00273DF7"/>
    <w:rsid w:val="0027524F"/>
    <w:rsid w:val="00275455"/>
    <w:rsid w:val="00275A73"/>
    <w:rsid w:val="002761EF"/>
    <w:rsid w:val="00276616"/>
    <w:rsid w:val="00276A5C"/>
    <w:rsid w:val="00276B52"/>
    <w:rsid w:val="002770D4"/>
    <w:rsid w:val="002771C4"/>
    <w:rsid w:val="002777F2"/>
    <w:rsid w:val="00277C58"/>
    <w:rsid w:val="00280097"/>
    <w:rsid w:val="0028075F"/>
    <w:rsid w:val="002808D1"/>
    <w:rsid w:val="00280CBA"/>
    <w:rsid w:val="00281799"/>
    <w:rsid w:val="00281B1B"/>
    <w:rsid w:val="00281BFE"/>
    <w:rsid w:val="00281E00"/>
    <w:rsid w:val="00281E44"/>
    <w:rsid w:val="0028214B"/>
    <w:rsid w:val="00282A0B"/>
    <w:rsid w:val="00282A97"/>
    <w:rsid w:val="00282A98"/>
    <w:rsid w:val="00282CB4"/>
    <w:rsid w:val="002831A8"/>
    <w:rsid w:val="00283DCE"/>
    <w:rsid w:val="00283ED8"/>
    <w:rsid w:val="00283F80"/>
    <w:rsid w:val="00284178"/>
    <w:rsid w:val="0028427F"/>
    <w:rsid w:val="00284F67"/>
    <w:rsid w:val="00284FA5"/>
    <w:rsid w:val="002853B1"/>
    <w:rsid w:val="002859DA"/>
    <w:rsid w:val="00285AB9"/>
    <w:rsid w:val="002868A7"/>
    <w:rsid w:val="00286C38"/>
    <w:rsid w:val="00287036"/>
    <w:rsid w:val="00287191"/>
    <w:rsid w:val="00287285"/>
    <w:rsid w:val="002872CF"/>
    <w:rsid w:val="00287E78"/>
    <w:rsid w:val="0029021F"/>
    <w:rsid w:val="0029032F"/>
    <w:rsid w:val="00290B50"/>
    <w:rsid w:val="002910FD"/>
    <w:rsid w:val="002912E6"/>
    <w:rsid w:val="002912FA"/>
    <w:rsid w:val="00291663"/>
    <w:rsid w:val="002916F7"/>
    <w:rsid w:val="00291D36"/>
    <w:rsid w:val="00292206"/>
    <w:rsid w:val="002922A6"/>
    <w:rsid w:val="00292311"/>
    <w:rsid w:val="0029318E"/>
    <w:rsid w:val="002932C2"/>
    <w:rsid w:val="002933E5"/>
    <w:rsid w:val="002935B9"/>
    <w:rsid w:val="00293638"/>
    <w:rsid w:val="0029398F"/>
    <w:rsid w:val="00294A63"/>
    <w:rsid w:val="00294AAE"/>
    <w:rsid w:val="00295252"/>
    <w:rsid w:val="002953F4"/>
    <w:rsid w:val="0029664E"/>
    <w:rsid w:val="002966E7"/>
    <w:rsid w:val="00297E7E"/>
    <w:rsid w:val="002A01EF"/>
    <w:rsid w:val="002A04F0"/>
    <w:rsid w:val="002A0A60"/>
    <w:rsid w:val="002A0BC4"/>
    <w:rsid w:val="002A1012"/>
    <w:rsid w:val="002A27B2"/>
    <w:rsid w:val="002A3126"/>
    <w:rsid w:val="002A31D3"/>
    <w:rsid w:val="002A35C9"/>
    <w:rsid w:val="002A3B6B"/>
    <w:rsid w:val="002A4066"/>
    <w:rsid w:val="002A42EC"/>
    <w:rsid w:val="002A46D2"/>
    <w:rsid w:val="002A506A"/>
    <w:rsid w:val="002A526B"/>
    <w:rsid w:val="002A58B2"/>
    <w:rsid w:val="002A58CF"/>
    <w:rsid w:val="002A5A5C"/>
    <w:rsid w:val="002A63F0"/>
    <w:rsid w:val="002A64E6"/>
    <w:rsid w:val="002A68FF"/>
    <w:rsid w:val="002A698D"/>
    <w:rsid w:val="002A6E9C"/>
    <w:rsid w:val="002A75A6"/>
    <w:rsid w:val="002A7B93"/>
    <w:rsid w:val="002B044C"/>
    <w:rsid w:val="002B0575"/>
    <w:rsid w:val="002B0630"/>
    <w:rsid w:val="002B0731"/>
    <w:rsid w:val="002B0A9F"/>
    <w:rsid w:val="002B0BDD"/>
    <w:rsid w:val="002B0F0B"/>
    <w:rsid w:val="002B198C"/>
    <w:rsid w:val="002B1BEE"/>
    <w:rsid w:val="002B1CDA"/>
    <w:rsid w:val="002B1EDE"/>
    <w:rsid w:val="002B256E"/>
    <w:rsid w:val="002B2607"/>
    <w:rsid w:val="002B2BEC"/>
    <w:rsid w:val="002B2FB5"/>
    <w:rsid w:val="002B3021"/>
    <w:rsid w:val="002B37EC"/>
    <w:rsid w:val="002B3887"/>
    <w:rsid w:val="002B426E"/>
    <w:rsid w:val="002B4423"/>
    <w:rsid w:val="002B4D13"/>
    <w:rsid w:val="002B4E86"/>
    <w:rsid w:val="002B4FAE"/>
    <w:rsid w:val="002B5015"/>
    <w:rsid w:val="002B5033"/>
    <w:rsid w:val="002B5083"/>
    <w:rsid w:val="002B5125"/>
    <w:rsid w:val="002B542D"/>
    <w:rsid w:val="002B57CD"/>
    <w:rsid w:val="002B58AE"/>
    <w:rsid w:val="002B5B9E"/>
    <w:rsid w:val="002B5BCE"/>
    <w:rsid w:val="002B5C14"/>
    <w:rsid w:val="002B5CF2"/>
    <w:rsid w:val="002B624B"/>
    <w:rsid w:val="002B63EE"/>
    <w:rsid w:val="002B7C2F"/>
    <w:rsid w:val="002B7E95"/>
    <w:rsid w:val="002B7F7C"/>
    <w:rsid w:val="002B7FE6"/>
    <w:rsid w:val="002C0280"/>
    <w:rsid w:val="002C0A37"/>
    <w:rsid w:val="002C0AAE"/>
    <w:rsid w:val="002C0BE5"/>
    <w:rsid w:val="002C0DC0"/>
    <w:rsid w:val="002C0E5E"/>
    <w:rsid w:val="002C1428"/>
    <w:rsid w:val="002C1503"/>
    <w:rsid w:val="002C1C19"/>
    <w:rsid w:val="002C1FEB"/>
    <w:rsid w:val="002C2357"/>
    <w:rsid w:val="002C23A0"/>
    <w:rsid w:val="002C28B4"/>
    <w:rsid w:val="002C2DBB"/>
    <w:rsid w:val="002C2E4D"/>
    <w:rsid w:val="002C31D5"/>
    <w:rsid w:val="002C3469"/>
    <w:rsid w:val="002C366C"/>
    <w:rsid w:val="002C384D"/>
    <w:rsid w:val="002C3868"/>
    <w:rsid w:val="002C3AC9"/>
    <w:rsid w:val="002C3F8A"/>
    <w:rsid w:val="002C4406"/>
    <w:rsid w:val="002C4528"/>
    <w:rsid w:val="002C4D4B"/>
    <w:rsid w:val="002C4EE9"/>
    <w:rsid w:val="002C55E8"/>
    <w:rsid w:val="002C5C72"/>
    <w:rsid w:val="002C5CBD"/>
    <w:rsid w:val="002C6086"/>
    <w:rsid w:val="002C60C8"/>
    <w:rsid w:val="002C6310"/>
    <w:rsid w:val="002C63BE"/>
    <w:rsid w:val="002C7106"/>
    <w:rsid w:val="002C71E3"/>
    <w:rsid w:val="002C73BA"/>
    <w:rsid w:val="002C7531"/>
    <w:rsid w:val="002C77CB"/>
    <w:rsid w:val="002C7874"/>
    <w:rsid w:val="002C7B6C"/>
    <w:rsid w:val="002C7E11"/>
    <w:rsid w:val="002D006C"/>
    <w:rsid w:val="002D011F"/>
    <w:rsid w:val="002D04E4"/>
    <w:rsid w:val="002D0954"/>
    <w:rsid w:val="002D103B"/>
    <w:rsid w:val="002D1209"/>
    <w:rsid w:val="002D2332"/>
    <w:rsid w:val="002D24F4"/>
    <w:rsid w:val="002D2D30"/>
    <w:rsid w:val="002D342F"/>
    <w:rsid w:val="002D38EB"/>
    <w:rsid w:val="002D3954"/>
    <w:rsid w:val="002D3FB0"/>
    <w:rsid w:val="002D409C"/>
    <w:rsid w:val="002D4780"/>
    <w:rsid w:val="002D4B71"/>
    <w:rsid w:val="002D4D04"/>
    <w:rsid w:val="002D4FA7"/>
    <w:rsid w:val="002D595E"/>
    <w:rsid w:val="002D5BDF"/>
    <w:rsid w:val="002D65FD"/>
    <w:rsid w:val="002D69E5"/>
    <w:rsid w:val="002D6A81"/>
    <w:rsid w:val="002D6FD2"/>
    <w:rsid w:val="002D7150"/>
    <w:rsid w:val="002D741F"/>
    <w:rsid w:val="002D7ABA"/>
    <w:rsid w:val="002E01C6"/>
    <w:rsid w:val="002E0537"/>
    <w:rsid w:val="002E065A"/>
    <w:rsid w:val="002E081E"/>
    <w:rsid w:val="002E083A"/>
    <w:rsid w:val="002E0ADC"/>
    <w:rsid w:val="002E0B51"/>
    <w:rsid w:val="002E0DE2"/>
    <w:rsid w:val="002E0F70"/>
    <w:rsid w:val="002E1417"/>
    <w:rsid w:val="002E1D53"/>
    <w:rsid w:val="002E1EF8"/>
    <w:rsid w:val="002E243C"/>
    <w:rsid w:val="002E270E"/>
    <w:rsid w:val="002E2786"/>
    <w:rsid w:val="002E2864"/>
    <w:rsid w:val="002E2B7C"/>
    <w:rsid w:val="002E34EE"/>
    <w:rsid w:val="002E34F9"/>
    <w:rsid w:val="002E3B2F"/>
    <w:rsid w:val="002E3FEE"/>
    <w:rsid w:val="002E40F9"/>
    <w:rsid w:val="002E41B3"/>
    <w:rsid w:val="002E4D51"/>
    <w:rsid w:val="002E584C"/>
    <w:rsid w:val="002E5918"/>
    <w:rsid w:val="002E61BC"/>
    <w:rsid w:val="002E6713"/>
    <w:rsid w:val="002E6A6A"/>
    <w:rsid w:val="002E6AC3"/>
    <w:rsid w:val="002E6D6D"/>
    <w:rsid w:val="002E7755"/>
    <w:rsid w:val="002E7C1F"/>
    <w:rsid w:val="002E7E91"/>
    <w:rsid w:val="002F0EFB"/>
    <w:rsid w:val="002F0F0D"/>
    <w:rsid w:val="002F1578"/>
    <w:rsid w:val="002F16CD"/>
    <w:rsid w:val="002F1A54"/>
    <w:rsid w:val="002F1C50"/>
    <w:rsid w:val="002F1CC8"/>
    <w:rsid w:val="002F1DDC"/>
    <w:rsid w:val="002F2445"/>
    <w:rsid w:val="002F2584"/>
    <w:rsid w:val="002F27B4"/>
    <w:rsid w:val="002F27BE"/>
    <w:rsid w:val="002F2E84"/>
    <w:rsid w:val="002F2F61"/>
    <w:rsid w:val="002F306D"/>
    <w:rsid w:val="002F30D3"/>
    <w:rsid w:val="002F3A5E"/>
    <w:rsid w:val="002F3F3A"/>
    <w:rsid w:val="002F4063"/>
    <w:rsid w:val="002F47EE"/>
    <w:rsid w:val="002F4A2D"/>
    <w:rsid w:val="002F4AAD"/>
    <w:rsid w:val="002F4B02"/>
    <w:rsid w:val="002F4CB0"/>
    <w:rsid w:val="002F4FCA"/>
    <w:rsid w:val="002F5068"/>
    <w:rsid w:val="002F5534"/>
    <w:rsid w:val="002F609A"/>
    <w:rsid w:val="002F6151"/>
    <w:rsid w:val="002F6D65"/>
    <w:rsid w:val="002F6E33"/>
    <w:rsid w:val="002F7BFB"/>
    <w:rsid w:val="002F7F3F"/>
    <w:rsid w:val="00300127"/>
    <w:rsid w:val="00300560"/>
    <w:rsid w:val="00300F0A"/>
    <w:rsid w:val="00301086"/>
    <w:rsid w:val="00301606"/>
    <w:rsid w:val="0030188B"/>
    <w:rsid w:val="0030208F"/>
    <w:rsid w:val="0030225A"/>
    <w:rsid w:val="0030283F"/>
    <w:rsid w:val="00302D9B"/>
    <w:rsid w:val="0030321F"/>
    <w:rsid w:val="0030356B"/>
    <w:rsid w:val="003035F4"/>
    <w:rsid w:val="0030393A"/>
    <w:rsid w:val="00303BC6"/>
    <w:rsid w:val="0030453C"/>
    <w:rsid w:val="0030467B"/>
    <w:rsid w:val="003050C9"/>
    <w:rsid w:val="003059FD"/>
    <w:rsid w:val="003062EC"/>
    <w:rsid w:val="00306429"/>
    <w:rsid w:val="00306648"/>
    <w:rsid w:val="00306892"/>
    <w:rsid w:val="003068DD"/>
    <w:rsid w:val="00306E18"/>
    <w:rsid w:val="00307333"/>
    <w:rsid w:val="00307516"/>
    <w:rsid w:val="003078DB"/>
    <w:rsid w:val="00307915"/>
    <w:rsid w:val="00307BEB"/>
    <w:rsid w:val="00310650"/>
    <w:rsid w:val="00310DCF"/>
    <w:rsid w:val="003111D8"/>
    <w:rsid w:val="0031171E"/>
    <w:rsid w:val="003119F9"/>
    <w:rsid w:val="00311F88"/>
    <w:rsid w:val="003120C1"/>
    <w:rsid w:val="00312738"/>
    <w:rsid w:val="00312946"/>
    <w:rsid w:val="00313227"/>
    <w:rsid w:val="00313723"/>
    <w:rsid w:val="00313A14"/>
    <w:rsid w:val="00313DF1"/>
    <w:rsid w:val="003143B9"/>
    <w:rsid w:val="00314937"/>
    <w:rsid w:val="00314962"/>
    <w:rsid w:val="00314B8A"/>
    <w:rsid w:val="00314BF7"/>
    <w:rsid w:val="00314C5A"/>
    <w:rsid w:val="00315300"/>
    <w:rsid w:val="003156B3"/>
    <w:rsid w:val="0031586B"/>
    <w:rsid w:val="00315C9E"/>
    <w:rsid w:val="00315E49"/>
    <w:rsid w:val="0031644E"/>
    <w:rsid w:val="003164F9"/>
    <w:rsid w:val="00316E97"/>
    <w:rsid w:val="00317183"/>
    <w:rsid w:val="00317195"/>
    <w:rsid w:val="0031735F"/>
    <w:rsid w:val="00317B41"/>
    <w:rsid w:val="00320230"/>
    <w:rsid w:val="00320737"/>
    <w:rsid w:val="00320A51"/>
    <w:rsid w:val="00320B2F"/>
    <w:rsid w:val="00320D97"/>
    <w:rsid w:val="00321062"/>
    <w:rsid w:val="003212CA"/>
    <w:rsid w:val="00321B44"/>
    <w:rsid w:val="0032242C"/>
    <w:rsid w:val="003226A1"/>
    <w:rsid w:val="00322E76"/>
    <w:rsid w:val="003245F4"/>
    <w:rsid w:val="00324742"/>
    <w:rsid w:val="00324807"/>
    <w:rsid w:val="00324844"/>
    <w:rsid w:val="0032566C"/>
    <w:rsid w:val="0032633E"/>
    <w:rsid w:val="00326B3C"/>
    <w:rsid w:val="003271CD"/>
    <w:rsid w:val="003276F6"/>
    <w:rsid w:val="00327926"/>
    <w:rsid w:val="00327B01"/>
    <w:rsid w:val="00327CD8"/>
    <w:rsid w:val="0033008B"/>
    <w:rsid w:val="003306BA"/>
    <w:rsid w:val="00330995"/>
    <w:rsid w:val="003309B0"/>
    <w:rsid w:val="003309DD"/>
    <w:rsid w:val="00330A31"/>
    <w:rsid w:val="00330C47"/>
    <w:rsid w:val="00330F34"/>
    <w:rsid w:val="00330FDD"/>
    <w:rsid w:val="003310A3"/>
    <w:rsid w:val="003312E2"/>
    <w:rsid w:val="00331415"/>
    <w:rsid w:val="00331E2D"/>
    <w:rsid w:val="00331E60"/>
    <w:rsid w:val="00331FDD"/>
    <w:rsid w:val="003325A2"/>
    <w:rsid w:val="0033281D"/>
    <w:rsid w:val="00332895"/>
    <w:rsid w:val="0033289F"/>
    <w:rsid w:val="00332A4E"/>
    <w:rsid w:val="003331CE"/>
    <w:rsid w:val="0033334E"/>
    <w:rsid w:val="00333487"/>
    <w:rsid w:val="003334C7"/>
    <w:rsid w:val="00333704"/>
    <w:rsid w:val="00333A0F"/>
    <w:rsid w:val="00333F15"/>
    <w:rsid w:val="003340FB"/>
    <w:rsid w:val="00334223"/>
    <w:rsid w:val="003349AD"/>
    <w:rsid w:val="00334AB4"/>
    <w:rsid w:val="00334C75"/>
    <w:rsid w:val="00335233"/>
    <w:rsid w:val="00335572"/>
    <w:rsid w:val="00335BB4"/>
    <w:rsid w:val="00336467"/>
    <w:rsid w:val="0033711E"/>
    <w:rsid w:val="0033766A"/>
    <w:rsid w:val="00337CEB"/>
    <w:rsid w:val="00340068"/>
    <w:rsid w:val="0034082F"/>
    <w:rsid w:val="00340897"/>
    <w:rsid w:val="003409CD"/>
    <w:rsid w:val="00340D2A"/>
    <w:rsid w:val="00341238"/>
    <w:rsid w:val="00341258"/>
    <w:rsid w:val="003418DE"/>
    <w:rsid w:val="00341B46"/>
    <w:rsid w:val="00342209"/>
    <w:rsid w:val="003423BB"/>
    <w:rsid w:val="00342FE0"/>
    <w:rsid w:val="00343931"/>
    <w:rsid w:val="003439F4"/>
    <w:rsid w:val="003440DE"/>
    <w:rsid w:val="0034497B"/>
    <w:rsid w:val="00344B99"/>
    <w:rsid w:val="00344FB1"/>
    <w:rsid w:val="00345084"/>
    <w:rsid w:val="003453CA"/>
    <w:rsid w:val="00345ABC"/>
    <w:rsid w:val="00345D13"/>
    <w:rsid w:val="00345FDF"/>
    <w:rsid w:val="0034643B"/>
    <w:rsid w:val="003469FC"/>
    <w:rsid w:val="00346DAA"/>
    <w:rsid w:val="003473FE"/>
    <w:rsid w:val="00347FF9"/>
    <w:rsid w:val="00350E9A"/>
    <w:rsid w:val="0035145B"/>
    <w:rsid w:val="00351747"/>
    <w:rsid w:val="00351911"/>
    <w:rsid w:val="003525E0"/>
    <w:rsid w:val="0035267F"/>
    <w:rsid w:val="0035268F"/>
    <w:rsid w:val="0035299C"/>
    <w:rsid w:val="00352B80"/>
    <w:rsid w:val="00352DCC"/>
    <w:rsid w:val="00352ED8"/>
    <w:rsid w:val="00353BBB"/>
    <w:rsid w:val="00353BD3"/>
    <w:rsid w:val="00353C1C"/>
    <w:rsid w:val="00354019"/>
    <w:rsid w:val="00354169"/>
    <w:rsid w:val="0035423F"/>
    <w:rsid w:val="00354F70"/>
    <w:rsid w:val="003550C8"/>
    <w:rsid w:val="00356407"/>
    <w:rsid w:val="00356557"/>
    <w:rsid w:val="0035668A"/>
    <w:rsid w:val="00356D4D"/>
    <w:rsid w:val="00356FF5"/>
    <w:rsid w:val="00357277"/>
    <w:rsid w:val="00357872"/>
    <w:rsid w:val="00357AD8"/>
    <w:rsid w:val="00357F7C"/>
    <w:rsid w:val="00360055"/>
    <w:rsid w:val="003604EA"/>
    <w:rsid w:val="0036052E"/>
    <w:rsid w:val="00360BDD"/>
    <w:rsid w:val="00360C7A"/>
    <w:rsid w:val="003611E3"/>
    <w:rsid w:val="0036188C"/>
    <w:rsid w:val="003623DD"/>
    <w:rsid w:val="00362B09"/>
    <w:rsid w:val="00362F9C"/>
    <w:rsid w:val="00363A6C"/>
    <w:rsid w:val="003642FF"/>
    <w:rsid w:val="00364A73"/>
    <w:rsid w:val="00365367"/>
    <w:rsid w:val="00365404"/>
    <w:rsid w:val="003658E9"/>
    <w:rsid w:val="00365AEE"/>
    <w:rsid w:val="00366192"/>
    <w:rsid w:val="003667CA"/>
    <w:rsid w:val="003669F4"/>
    <w:rsid w:val="00366CA1"/>
    <w:rsid w:val="00366FA6"/>
    <w:rsid w:val="00367E02"/>
    <w:rsid w:val="0037047A"/>
    <w:rsid w:val="003714A3"/>
    <w:rsid w:val="00371DE9"/>
    <w:rsid w:val="00372069"/>
    <w:rsid w:val="00372149"/>
    <w:rsid w:val="00372667"/>
    <w:rsid w:val="0037272B"/>
    <w:rsid w:val="00372FDE"/>
    <w:rsid w:val="00373022"/>
    <w:rsid w:val="0037396B"/>
    <w:rsid w:val="00373987"/>
    <w:rsid w:val="00373AE8"/>
    <w:rsid w:val="00374BEE"/>
    <w:rsid w:val="00374FB1"/>
    <w:rsid w:val="0037509F"/>
    <w:rsid w:val="003751F5"/>
    <w:rsid w:val="003755E7"/>
    <w:rsid w:val="00375FBD"/>
    <w:rsid w:val="00376E4D"/>
    <w:rsid w:val="00376E81"/>
    <w:rsid w:val="00377350"/>
    <w:rsid w:val="00377923"/>
    <w:rsid w:val="00377CFE"/>
    <w:rsid w:val="00377D13"/>
    <w:rsid w:val="00377DB4"/>
    <w:rsid w:val="00377F87"/>
    <w:rsid w:val="00380795"/>
    <w:rsid w:val="00380B88"/>
    <w:rsid w:val="00380D8B"/>
    <w:rsid w:val="003810E0"/>
    <w:rsid w:val="0038153F"/>
    <w:rsid w:val="00381672"/>
    <w:rsid w:val="003816B0"/>
    <w:rsid w:val="003818ED"/>
    <w:rsid w:val="00382763"/>
    <w:rsid w:val="00383CFB"/>
    <w:rsid w:val="00383D48"/>
    <w:rsid w:val="00384372"/>
    <w:rsid w:val="0038449F"/>
    <w:rsid w:val="003848B0"/>
    <w:rsid w:val="00385222"/>
    <w:rsid w:val="003859FA"/>
    <w:rsid w:val="0038693D"/>
    <w:rsid w:val="00386CA4"/>
    <w:rsid w:val="00386E05"/>
    <w:rsid w:val="00386FFF"/>
    <w:rsid w:val="00387266"/>
    <w:rsid w:val="003872D3"/>
    <w:rsid w:val="00387815"/>
    <w:rsid w:val="00387828"/>
    <w:rsid w:val="00387E44"/>
    <w:rsid w:val="0039069F"/>
    <w:rsid w:val="0039076A"/>
    <w:rsid w:val="00390784"/>
    <w:rsid w:val="00390A13"/>
    <w:rsid w:val="00390F37"/>
    <w:rsid w:val="00391C8C"/>
    <w:rsid w:val="00391FC8"/>
    <w:rsid w:val="00392462"/>
    <w:rsid w:val="003935DB"/>
    <w:rsid w:val="00393AA2"/>
    <w:rsid w:val="00393EA3"/>
    <w:rsid w:val="00394008"/>
    <w:rsid w:val="003943BF"/>
    <w:rsid w:val="00394935"/>
    <w:rsid w:val="003949C9"/>
    <w:rsid w:val="00395BB5"/>
    <w:rsid w:val="00396381"/>
    <w:rsid w:val="003963CD"/>
    <w:rsid w:val="003974A8"/>
    <w:rsid w:val="00397A8C"/>
    <w:rsid w:val="00397ABE"/>
    <w:rsid w:val="00397D09"/>
    <w:rsid w:val="00397EFF"/>
    <w:rsid w:val="00397F36"/>
    <w:rsid w:val="003A024E"/>
    <w:rsid w:val="003A0904"/>
    <w:rsid w:val="003A129F"/>
    <w:rsid w:val="003A1D62"/>
    <w:rsid w:val="003A23CF"/>
    <w:rsid w:val="003A280C"/>
    <w:rsid w:val="003A2A0B"/>
    <w:rsid w:val="003A2F8D"/>
    <w:rsid w:val="003A300D"/>
    <w:rsid w:val="003A3166"/>
    <w:rsid w:val="003A4540"/>
    <w:rsid w:val="003A5A43"/>
    <w:rsid w:val="003A5B8A"/>
    <w:rsid w:val="003A609D"/>
    <w:rsid w:val="003A6930"/>
    <w:rsid w:val="003A6BDF"/>
    <w:rsid w:val="003A7147"/>
    <w:rsid w:val="003A7E77"/>
    <w:rsid w:val="003B0132"/>
    <w:rsid w:val="003B023A"/>
    <w:rsid w:val="003B02CB"/>
    <w:rsid w:val="003B0B3F"/>
    <w:rsid w:val="003B1D08"/>
    <w:rsid w:val="003B2448"/>
    <w:rsid w:val="003B2857"/>
    <w:rsid w:val="003B2A54"/>
    <w:rsid w:val="003B2CCB"/>
    <w:rsid w:val="003B3CCB"/>
    <w:rsid w:val="003B3F54"/>
    <w:rsid w:val="003B3FBE"/>
    <w:rsid w:val="003B4885"/>
    <w:rsid w:val="003B53EB"/>
    <w:rsid w:val="003B55EF"/>
    <w:rsid w:val="003B5A9B"/>
    <w:rsid w:val="003B5C0A"/>
    <w:rsid w:val="003B5DB5"/>
    <w:rsid w:val="003B5ED8"/>
    <w:rsid w:val="003B682D"/>
    <w:rsid w:val="003B74DC"/>
    <w:rsid w:val="003B79CE"/>
    <w:rsid w:val="003C05CB"/>
    <w:rsid w:val="003C080E"/>
    <w:rsid w:val="003C09B8"/>
    <w:rsid w:val="003C09FB"/>
    <w:rsid w:val="003C0DBE"/>
    <w:rsid w:val="003C1B0A"/>
    <w:rsid w:val="003C1B2A"/>
    <w:rsid w:val="003C201A"/>
    <w:rsid w:val="003C23B1"/>
    <w:rsid w:val="003C2BC8"/>
    <w:rsid w:val="003C30D0"/>
    <w:rsid w:val="003C3564"/>
    <w:rsid w:val="003C37F3"/>
    <w:rsid w:val="003C3BE0"/>
    <w:rsid w:val="003C3DED"/>
    <w:rsid w:val="003C41D2"/>
    <w:rsid w:val="003C4EC0"/>
    <w:rsid w:val="003C4F96"/>
    <w:rsid w:val="003C4F9C"/>
    <w:rsid w:val="003C5528"/>
    <w:rsid w:val="003C59FE"/>
    <w:rsid w:val="003C5CCF"/>
    <w:rsid w:val="003C69B8"/>
    <w:rsid w:val="003C6B4B"/>
    <w:rsid w:val="003D013B"/>
    <w:rsid w:val="003D0DC3"/>
    <w:rsid w:val="003D0EC1"/>
    <w:rsid w:val="003D11FB"/>
    <w:rsid w:val="003D1512"/>
    <w:rsid w:val="003D1552"/>
    <w:rsid w:val="003D1553"/>
    <w:rsid w:val="003D177B"/>
    <w:rsid w:val="003D18C7"/>
    <w:rsid w:val="003D1DF9"/>
    <w:rsid w:val="003D2082"/>
    <w:rsid w:val="003D2284"/>
    <w:rsid w:val="003D22E7"/>
    <w:rsid w:val="003D257D"/>
    <w:rsid w:val="003D29A1"/>
    <w:rsid w:val="003D2C72"/>
    <w:rsid w:val="003D2D32"/>
    <w:rsid w:val="003D2D95"/>
    <w:rsid w:val="003D2FB9"/>
    <w:rsid w:val="003D3016"/>
    <w:rsid w:val="003D30DE"/>
    <w:rsid w:val="003D3524"/>
    <w:rsid w:val="003D3CE1"/>
    <w:rsid w:val="003D3CF7"/>
    <w:rsid w:val="003D3D28"/>
    <w:rsid w:val="003D3F51"/>
    <w:rsid w:val="003D427B"/>
    <w:rsid w:val="003D43D3"/>
    <w:rsid w:val="003D4A18"/>
    <w:rsid w:val="003D4EAC"/>
    <w:rsid w:val="003D51F6"/>
    <w:rsid w:val="003D58D9"/>
    <w:rsid w:val="003D6254"/>
    <w:rsid w:val="003D6357"/>
    <w:rsid w:val="003D6365"/>
    <w:rsid w:val="003D6455"/>
    <w:rsid w:val="003D6997"/>
    <w:rsid w:val="003D6A23"/>
    <w:rsid w:val="003D713C"/>
    <w:rsid w:val="003E031C"/>
    <w:rsid w:val="003E0526"/>
    <w:rsid w:val="003E0AA3"/>
    <w:rsid w:val="003E0AFF"/>
    <w:rsid w:val="003E14F0"/>
    <w:rsid w:val="003E15B9"/>
    <w:rsid w:val="003E19D6"/>
    <w:rsid w:val="003E1A8E"/>
    <w:rsid w:val="003E1B6C"/>
    <w:rsid w:val="003E1ED7"/>
    <w:rsid w:val="003E22DA"/>
    <w:rsid w:val="003E259F"/>
    <w:rsid w:val="003E30E7"/>
    <w:rsid w:val="003E32C4"/>
    <w:rsid w:val="003E3FD3"/>
    <w:rsid w:val="003E4123"/>
    <w:rsid w:val="003E428C"/>
    <w:rsid w:val="003E4428"/>
    <w:rsid w:val="003E4759"/>
    <w:rsid w:val="003E4A57"/>
    <w:rsid w:val="003E4BD3"/>
    <w:rsid w:val="003E5422"/>
    <w:rsid w:val="003E5603"/>
    <w:rsid w:val="003E5817"/>
    <w:rsid w:val="003E5CAF"/>
    <w:rsid w:val="003E5DC2"/>
    <w:rsid w:val="003E5F07"/>
    <w:rsid w:val="003E6566"/>
    <w:rsid w:val="003E6876"/>
    <w:rsid w:val="003E6C6C"/>
    <w:rsid w:val="003E6ED4"/>
    <w:rsid w:val="003E6FC2"/>
    <w:rsid w:val="003E72F6"/>
    <w:rsid w:val="003E7346"/>
    <w:rsid w:val="003E74CB"/>
    <w:rsid w:val="003F0A28"/>
    <w:rsid w:val="003F0AEE"/>
    <w:rsid w:val="003F0CF0"/>
    <w:rsid w:val="003F0EE6"/>
    <w:rsid w:val="003F144C"/>
    <w:rsid w:val="003F1514"/>
    <w:rsid w:val="003F1E13"/>
    <w:rsid w:val="003F21C8"/>
    <w:rsid w:val="003F240B"/>
    <w:rsid w:val="003F24E8"/>
    <w:rsid w:val="003F266E"/>
    <w:rsid w:val="003F2725"/>
    <w:rsid w:val="003F2938"/>
    <w:rsid w:val="003F2C8A"/>
    <w:rsid w:val="003F381D"/>
    <w:rsid w:val="003F3C13"/>
    <w:rsid w:val="003F4068"/>
    <w:rsid w:val="003F412A"/>
    <w:rsid w:val="003F4586"/>
    <w:rsid w:val="003F49C3"/>
    <w:rsid w:val="003F4D38"/>
    <w:rsid w:val="003F4E1B"/>
    <w:rsid w:val="003F64D9"/>
    <w:rsid w:val="003F6DFF"/>
    <w:rsid w:val="003F76A8"/>
    <w:rsid w:val="003F7982"/>
    <w:rsid w:val="003F7E0B"/>
    <w:rsid w:val="004003E2"/>
    <w:rsid w:val="00400900"/>
    <w:rsid w:val="00400C1B"/>
    <w:rsid w:val="00400C32"/>
    <w:rsid w:val="00401097"/>
    <w:rsid w:val="00401503"/>
    <w:rsid w:val="004016D2"/>
    <w:rsid w:val="00401886"/>
    <w:rsid w:val="00401AE1"/>
    <w:rsid w:val="00401B18"/>
    <w:rsid w:val="00401DB8"/>
    <w:rsid w:val="00402642"/>
    <w:rsid w:val="004026D3"/>
    <w:rsid w:val="00402DE9"/>
    <w:rsid w:val="00403AE7"/>
    <w:rsid w:val="00404CA4"/>
    <w:rsid w:val="004055FA"/>
    <w:rsid w:val="00405E81"/>
    <w:rsid w:val="00405F82"/>
    <w:rsid w:val="00406340"/>
    <w:rsid w:val="00406972"/>
    <w:rsid w:val="00406EBE"/>
    <w:rsid w:val="00406F45"/>
    <w:rsid w:val="00407184"/>
    <w:rsid w:val="004077EA"/>
    <w:rsid w:val="00407936"/>
    <w:rsid w:val="00410202"/>
    <w:rsid w:val="00410EA5"/>
    <w:rsid w:val="0041143E"/>
    <w:rsid w:val="00411537"/>
    <w:rsid w:val="004124C8"/>
    <w:rsid w:val="00412B95"/>
    <w:rsid w:val="00412BA8"/>
    <w:rsid w:val="00413A56"/>
    <w:rsid w:val="00413C5D"/>
    <w:rsid w:val="00413F40"/>
    <w:rsid w:val="004144AB"/>
    <w:rsid w:val="0041461E"/>
    <w:rsid w:val="00415357"/>
    <w:rsid w:val="004153E5"/>
    <w:rsid w:val="00415C1D"/>
    <w:rsid w:val="00416C99"/>
    <w:rsid w:val="004173B4"/>
    <w:rsid w:val="0041745D"/>
    <w:rsid w:val="00417F87"/>
    <w:rsid w:val="00420189"/>
    <w:rsid w:val="00420376"/>
    <w:rsid w:val="004206B2"/>
    <w:rsid w:val="004209AC"/>
    <w:rsid w:val="004211D1"/>
    <w:rsid w:val="0042160C"/>
    <w:rsid w:val="00421912"/>
    <w:rsid w:val="0042199C"/>
    <w:rsid w:val="004219BB"/>
    <w:rsid w:val="00422709"/>
    <w:rsid w:val="004228C8"/>
    <w:rsid w:val="00422B2D"/>
    <w:rsid w:val="0042328D"/>
    <w:rsid w:val="00423707"/>
    <w:rsid w:val="0042371C"/>
    <w:rsid w:val="00423991"/>
    <w:rsid w:val="00423B58"/>
    <w:rsid w:val="00423F8B"/>
    <w:rsid w:val="004240E9"/>
    <w:rsid w:val="0042430D"/>
    <w:rsid w:val="00424C27"/>
    <w:rsid w:val="00424CA6"/>
    <w:rsid w:val="00424CDB"/>
    <w:rsid w:val="004252BD"/>
    <w:rsid w:val="00426508"/>
    <w:rsid w:val="004268C3"/>
    <w:rsid w:val="00427424"/>
    <w:rsid w:val="004276AB"/>
    <w:rsid w:val="00427BA0"/>
    <w:rsid w:val="00427D64"/>
    <w:rsid w:val="00430222"/>
    <w:rsid w:val="004305B5"/>
    <w:rsid w:val="00430CD5"/>
    <w:rsid w:val="00430D81"/>
    <w:rsid w:val="0043109B"/>
    <w:rsid w:val="00431D91"/>
    <w:rsid w:val="00431E9E"/>
    <w:rsid w:val="004323BC"/>
    <w:rsid w:val="004327BB"/>
    <w:rsid w:val="00432FA0"/>
    <w:rsid w:val="00433001"/>
    <w:rsid w:val="0043382E"/>
    <w:rsid w:val="00433A09"/>
    <w:rsid w:val="00434014"/>
    <w:rsid w:val="004343BE"/>
    <w:rsid w:val="0043468E"/>
    <w:rsid w:val="00434E60"/>
    <w:rsid w:val="004351EF"/>
    <w:rsid w:val="0043521B"/>
    <w:rsid w:val="0043537B"/>
    <w:rsid w:val="004355BC"/>
    <w:rsid w:val="0043561D"/>
    <w:rsid w:val="00435C1D"/>
    <w:rsid w:val="00435FBC"/>
    <w:rsid w:val="0043686B"/>
    <w:rsid w:val="00436965"/>
    <w:rsid w:val="00436C44"/>
    <w:rsid w:val="00436F9C"/>
    <w:rsid w:val="0043789C"/>
    <w:rsid w:val="00437CE3"/>
    <w:rsid w:val="004408AF"/>
    <w:rsid w:val="004408D9"/>
    <w:rsid w:val="00440A64"/>
    <w:rsid w:val="00440A9B"/>
    <w:rsid w:val="00440ECF"/>
    <w:rsid w:val="00440F7B"/>
    <w:rsid w:val="00441120"/>
    <w:rsid w:val="0044127C"/>
    <w:rsid w:val="0044150A"/>
    <w:rsid w:val="004416E8"/>
    <w:rsid w:val="00441A1C"/>
    <w:rsid w:val="00441ABB"/>
    <w:rsid w:val="00441C43"/>
    <w:rsid w:val="004421AD"/>
    <w:rsid w:val="00442798"/>
    <w:rsid w:val="00442D3D"/>
    <w:rsid w:val="00442F4A"/>
    <w:rsid w:val="0044310E"/>
    <w:rsid w:val="0044354E"/>
    <w:rsid w:val="0044363F"/>
    <w:rsid w:val="00443C53"/>
    <w:rsid w:val="00443F09"/>
    <w:rsid w:val="004441D5"/>
    <w:rsid w:val="0044430B"/>
    <w:rsid w:val="004445CA"/>
    <w:rsid w:val="00444615"/>
    <w:rsid w:val="00444806"/>
    <w:rsid w:val="0044485C"/>
    <w:rsid w:val="004449AC"/>
    <w:rsid w:val="004449AF"/>
    <w:rsid w:val="00444A32"/>
    <w:rsid w:val="0044508E"/>
    <w:rsid w:val="004453E7"/>
    <w:rsid w:val="00445BD2"/>
    <w:rsid w:val="00446516"/>
    <w:rsid w:val="0044655F"/>
    <w:rsid w:val="0044674A"/>
    <w:rsid w:val="00446944"/>
    <w:rsid w:val="00446C45"/>
    <w:rsid w:val="00447C57"/>
    <w:rsid w:val="00450045"/>
    <w:rsid w:val="0045043A"/>
    <w:rsid w:val="00450E36"/>
    <w:rsid w:val="00450E9A"/>
    <w:rsid w:val="00451177"/>
    <w:rsid w:val="0045140F"/>
    <w:rsid w:val="00451810"/>
    <w:rsid w:val="00451A3D"/>
    <w:rsid w:val="00452539"/>
    <w:rsid w:val="00452966"/>
    <w:rsid w:val="0045297A"/>
    <w:rsid w:val="00452AEB"/>
    <w:rsid w:val="00452B7D"/>
    <w:rsid w:val="00452C09"/>
    <w:rsid w:val="00452E79"/>
    <w:rsid w:val="00452FE5"/>
    <w:rsid w:val="0045309B"/>
    <w:rsid w:val="00454468"/>
    <w:rsid w:val="004546F1"/>
    <w:rsid w:val="004547C1"/>
    <w:rsid w:val="00454D50"/>
    <w:rsid w:val="004550A1"/>
    <w:rsid w:val="0045520E"/>
    <w:rsid w:val="00455431"/>
    <w:rsid w:val="00455D4C"/>
    <w:rsid w:val="00455F51"/>
    <w:rsid w:val="00456008"/>
    <w:rsid w:val="0045606F"/>
    <w:rsid w:val="004560D9"/>
    <w:rsid w:val="00456561"/>
    <w:rsid w:val="00456F1B"/>
    <w:rsid w:val="00457042"/>
    <w:rsid w:val="0045710E"/>
    <w:rsid w:val="004576F4"/>
    <w:rsid w:val="00457B13"/>
    <w:rsid w:val="00460067"/>
    <w:rsid w:val="0046011D"/>
    <w:rsid w:val="004601D1"/>
    <w:rsid w:val="0046047B"/>
    <w:rsid w:val="0046049A"/>
    <w:rsid w:val="00460778"/>
    <w:rsid w:val="004608D8"/>
    <w:rsid w:val="00460ED1"/>
    <w:rsid w:val="00460F83"/>
    <w:rsid w:val="004618F8"/>
    <w:rsid w:val="0046203D"/>
    <w:rsid w:val="004622BB"/>
    <w:rsid w:val="004625BA"/>
    <w:rsid w:val="00462831"/>
    <w:rsid w:val="004628F4"/>
    <w:rsid w:val="0046295D"/>
    <w:rsid w:val="00462AC2"/>
    <w:rsid w:val="00463D24"/>
    <w:rsid w:val="00463E68"/>
    <w:rsid w:val="004644E1"/>
    <w:rsid w:val="00464605"/>
    <w:rsid w:val="00464CD4"/>
    <w:rsid w:val="00465092"/>
    <w:rsid w:val="004652D9"/>
    <w:rsid w:val="004657D7"/>
    <w:rsid w:val="00466A94"/>
    <w:rsid w:val="00466B24"/>
    <w:rsid w:val="00466CE9"/>
    <w:rsid w:val="0046720C"/>
    <w:rsid w:val="004677A4"/>
    <w:rsid w:val="004677BD"/>
    <w:rsid w:val="0046787C"/>
    <w:rsid w:val="00467D1B"/>
    <w:rsid w:val="00467D57"/>
    <w:rsid w:val="00470713"/>
    <w:rsid w:val="00470A5C"/>
    <w:rsid w:val="0047138A"/>
    <w:rsid w:val="004713CB"/>
    <w:rsid w:val="00471E32"/>
    <w:rsid w:val="004723B6"/>
    <w:rsid w:val="00472582"/>
    <w:rsid w:val="00472756"/>
    <w:rsid w:val="0047287E"/>
    <w:rsid w:val="00472FA4"/>
    <w:rsid w:val="00473578"/>
    <w:rsid w:val="004739F0"/>
    <w:rsid w:val="00473D6C"/>
    <w:rsid w:val="00473F87"/>
    <w:rsid w:val="004740D1"/>
    <w:rsid w:val="004751F0"/>
    <w:rsid w:val="00475642"/>
    <w:rsid w:val="00475E06"/>
    <w:rsid w:val="00476187"/>
    <w:rsid w:val="00476F56"/>
    <w:rsid w:val="00477279"/>
    <w:rsid w:val="00477547"/>
    <w:rsid w:val="00477C2B"/>
    <w:rsid w:val="00477E6F"/>
    <w:rsid w:val="00480760"/>
    <w:rsid w:val="00480832"/>
    <w:rsid w:val="004808CF"/>
    <w:rsid w:val="00480ECF"/>
    <w:rsid w:val="00480F5D"/>
    <w:rsid w:val="00481344"/>
    <w:rsid w:val="004816E7"/>
    <w:rsid w:val="00481929"/>
    <w:rsid w:val="00481CC3"/>
    <w:rsid w:val="004820B3"/>
    <w:rsid w:val="00482771"/>
    <w:rsid w:val="004829A6"/>
    <w:rsid w:val="00482B76"/>
    <w:rsid w:val="00482C20"/>
    <w:rsid w:val="00483432"/>
    <w:rsid w:val="00483620"/>
    <w:rsid w:val="00483D07"/>
    <w:rsid w:val="00483EF5"/>
    <w:rsid w:val="0048450E"/>
    <w:rsid w:val="00484920"/>
    <w:rsid w:val="00485172"/>
    <w:rsid w:val="004852BD"/>
    <w:rsid w:val="004853B5"/>
    <w:rsid w:val="00485467"/>
    <w:rsid w:val="00485591"/>
    <w:rsid w:val="00485925"/>
    <w:rsid w:val="004873C7"/>
    <w:rsid w:val="00487F85"/>
    <w:rsid w:val="00487FE9"/>
    <w:rsid w:val="00490A77"/>
    <w:rsid w:val="00491013"/>
    <w:rsid w:val="0049122B"/>
    <w:rsid w:val="00491B5D"/>
    <w:rsid w:val="0049223F"/>
    <w:rsid w:val="00492538"/>
    <w:rsid w:val="00492554"/>
    <w:rsid w:val="0049395C"/>
    <w:rsid w:val="00493A87"/>
    <w:rsid w:val="004941BC"/>
    <w:rsid w:val="00494463"/>
    <w:rsid w:val="00495048"/>
    <w:rsid w:val="00495152"/>
    <w:rsid w:val="004952EE"/>
    <w:rsid w:val="004965AE"/>
    <w:rsid w:val="004969D9"/>
    <w:rsid w:val="004A0919"/>
    <w:rsid w:val="004A0AEF"/>
    <w:rsid w:val="004A0FDB"/>
    <w:rsid w:val="004A1016"/>
    <w:rsid w:val="004A1357"/>
    <w:rsid w:val="004A1478"/>
    <w:rsid w:val="004A1DF2"/>
    <w:rsid w:val="004A20FE"/>
    <w:rsid w:val="004A23F8"/>
    <w:rsid w:val="004A2D6E"/>
    <w:rsid w:val="004A40AA"/>
    <w:rsid w:val="004A430E"/>
    <w:rsid w:val="004A4367"/>
    <w:rsid w:val="004A4446"/>
    <w:rsid w:val="004A475C"/>
    <w:rsid w:val="004A47FF"/>
    <w:rsid w:val="004A495C"/>
    <w:rsid w:val="004A497D"/>
    <w:rsid w:val="004A564B"/>
    <w:rsid w:val="004A5C0B"/>
    <w:rsid w:val="004A5F96"/>
    <w:rsid w:val="004A6652"/>
    <w:rsid w:val="004A6961"/>
    <w:rsid w:val="004A6A67"/>
    <w:rsid w:val="004A6B16"/>
    <w:rsid w:val="004A70DF"/>
    <w:rsid w:val="004A71B5"/>
    <w:rsid w:val="004A73D3"/>
    <w:rsid w:val="004A7FC3"/>
    <w:rsid w:val="004B025A"/>
    <w:rsid w:val="004B08AE"/>
    <w:rsid w:val="004B134F"/>
    <w:rsid w:val="004B1399"/>
    <w:rsid w:val="004B149C"/>
    <w:rsid w:val="004B1D92"/>
    <w:rsid w:val="004B1F07"/>
    <w:rsid w:val="004B2A2F"/>
    <w:rsid w:val="004B2CE9"/>
    <w:rsid w:val="004B2D5E"/>
    <w:rsid w:val="004B2E99"/>
    <w:rsid w:val="004B310A"/>
    <w:rsid w:val="004B376F"/>
    <w:rsid w:val="004B3F84"/>
    <w:rsid w:val="004B474D"/>
    <w:rsid w:val="004B4CBD"/>
    <w:rsid w:val="004B4D04"/>
    <w:rsid w:val="004B51F4"/>
    <w:rsid w:val="004B538B"/>
    <w:rsid w:val="004B5860"/>
    <w:rsid w:val="004B6271"/>
    <w:rsid w:val="004B631C"/>
    <w:rsid w:val="004B6413"/>
    <w:rsid w:val="004B651B"/>
    <w:rsid w:val="004B6B67"/>
    <w:rsid w:val="004B6B80"/>
    <w:rsid w:val="004B6BAF"/>
    <w:rsid w:val="004B6BD2"/>
    <w:rsid w:val="004B6C6E"/>
    <w:rsid w:val="004B6D41"/>
    <w:rsid w:val="004B701F"/>
    <w:rsid w:val="004B7390"/>
    <w:rsid w:val="004B7967"/>
    <w:rsid w:val="004B7DA2"/>
    <w:rsid w:val="004C06F9"/>
    <w:rsid w:val="004C093B"/>
    <w:rsid w:val="004C0992"/>
    <w:rsid w:val="004C0BAA"/>
    <w:rsid w:val="004C0C45"/>
    <w:rsid w:val="004C15F2"/>
    <w:rsid w:val="004C1EC3"/>
    <w:rsid w:val="004C2457"/>
    <w:rsid w:val="004C284C"/>
    <w:rsid w:val="004C28FE"/>
    <w:rsid w:val="004C2BBB"/>
    <w:rsid w:val="004C362B"/>
    <w:rsid w:val="004C4101"/>
    <w:rsid w:val="004C445C"/>
    <w:rsid w:val="004C4CD6"/>
    <w:rsid w:val="004C518B"/>
    <w:rsid w:val="004C5356"/>
    <w:rsid w:val="004C55F8"/>
    <w:rsid w:val="004C5695"/>
    <w:rsid w:val="004C5963"/>
    <w:rsid w:val="004C5B63"/>
    <w:rsid w:val="004C61F8"/>
    <w:rsid w:val="004C6638"/>
    <w:rsid w:val="004C69CB"/>
    <w:rsid w:val="004C6C8A"/>
    <w:rsid w:val="004C730A"/>
    <w:rsid w:val="004C74CC"/>
    <w:rsid w:val="004C792A"/>
    <w:rsid w:val="004C7972"/>
    <w:rsid w:val="004C7CAF"/>
    <w:rsid w:val="004C7D75"/>
    <w:rsid w:val="004C7F72"/>
    <w:rsid w:val="004D003F"/>
    <w:rsid w:val="004D0340"/>
    <w:rsid w:val="004D05B3"/>
    <w:rsid w:val="004D07DF"/>
    <w:rsid w:val="004D0B4A"/>
    <w:rsid w:val="004D1318"/>
    <w:rsid w:val="004D14F3"/>
    <w:rsid w:val="004D164E"/>
    <w:rsid w:val="004D22F9"/>
    <w:rsid w:val="004D25DB"/>
    <w:rsid w:val="004D2694"/>
    <w:rsid w:val="004D2F9B"/>
    <w:rsid w:val="004D3477"/>
    <w:rsid w:val="004D39E2"/>
    <w:rsid w:val="004D3F94"/>
    <w:rsid w:val="004D4245"/>
    <w:rsid w:val="004D4361"/>
    <w:rsid w:val="004D458B"/>
    <w:rsid w:val="004D5451"/>
    <w:rsid w:val="004D5B05"/>
    <w:rsid w:val="004D5D7F"/>
    <w:rsid w:val="004D5EC7"/>
    <w:rsid w:val="004D6832"/>
    <w:rsid w:val="004D6A51"/>
    <w:rsid w:val="004D70AE"/>
    <w:rsid w:val="004D759B"/>
    <w:rsid w:val="004D7B8A"/>
    <w:rsid w:val="004E04B1"/>
    <w:rsid w:val="004E0830"/>
    <w:rsid w:val="004E08EA"/>
    <w:rsid w:val="004E1000"/>
    <w:rsid w:val="004E1060"/>
    <w:rsid w:val="004E16A3"/>
    <w:rsid w:val="004E1D19"/>
    <w:rsid w:val="004E296A"/>
    <w:rsid w:val="004E3360"/>
    <w:rsid w:val="004E452F"/>
    <w:rsid w:val="004E4915"/>
    <w:rsid w:val="004E4991"/>
    <w:rsid w:val="004E4B3B"/>
    <w:rsid w:val="004E5490"/>
    <w:rsid w:val="004E56B2"/>
    <w:rsid w:val="004E57C2"/>
    <w:rsid w:val="004E6588"/>
    <w:rsid w:val="004E6A68"/>
    <w:rsid w:val="004E72D1"/>
    <w:rsid w:val="004E756F"/>
    <w:rsid w:val="004E7D4D"/>
    <w:rsid w:val="004F05DE"/>
    <w:rsid w:val="004F0662"/>
    <w:rsid w:val="004F066E"/>
    <w:rsid w:val="004F0835"/>
    <w:rsid w:val="004F090A"/>
    <w:rsid w:val="004F0B18"/>
    <w:rsid w:val="004F0C4D"/>
    <w:rsid w:val="004F155E"/>
    <w:rsid w:val="004F18CF"/>
    <w:rsid w:val="004F1FA4"/>
    <w:rsid w:val="004F26F0"/>
    <w:rsid w:val="004F2782"/>
    <w:rsid w:val="004F284D"/>
    <w:rsid w:val="004F29E0"/>
    <w:rsid w:val="004F32D6"/>
    <w:rsid w:val="004F48A9"/>
    <w:rsid w:val="004F4B3A"/>
    <w:rsid w:val="004F5180"/>
    <w:rsid w:val="004F5331"/>
    <w:rsid w:val="004F587D"/>
    <w:rsid w:val="004F5A12"/>
    <w:rsid w:val="004F5F61"/>
    <w:rsid w:val="004F6558"/>
    <w:rsid w:val="004F65D5"/>
    <w:rsid w:val="004F7BE6"/>
    <w:rsid w:val="005006EA"/>
    <w:rsid w:val="00500752"/>
    <w:rsid w:val="00500A31"/>
    <w:rsid w:val="00500A48"/>
    <w:rsid w:val="00500C8B"/>
    <w:rsid w:val="00500D3E"/>
    <w:rsid w:val="00501A6B"/>
    <w:rsid w:val="00502117"/>
    <w:rsid w:val="00502D7E"/>
    <w:rsid w:val="005035D9"/>
    <w:rsid w:val="00503A40"/>
    <w:rsid w:val="00503E81"/>
    <w:rsid w:val="00503F20"/>
    <w:rsid w:val="00504C7D"/>
    <w:rsid w:val="00505173"/>
    <w:rsid w:val="005058C0"/>
    <w:rsid w:val="00505F0D"/>
    <w:rsid w:val="005069EE"/>
    <w:rsid w:val="00506ED1"/>
    <w:rsid w:val="005071AB"/>
    <w:rsid w:val="005077DE"/>
    <w:rsid w:val="005079C4"/>
    <w:rsid w:val="00507DAC"/>
    <w:rsid w:val="00507E16"/>
    <w:rsid w:val="00507E8E"/>
    <w:rsid w:val="005104AD"/>
    <w:rsid w:val="00510766"/>
    <w:rsid w:val="00511154"/>
    <w:rsid w:val="0051197E"/>
    <w:rsid w:val="00511B66"/>
    <w:rsid w:val="00512551"/>
    <w:rsid w:val="00512716"/>
    <w:rsid w:val="0051280B"/>
    <w:rsid w:val="00513238"/>
    <w:rsid w:val="005132A4"/>
    <w:rsid w:val="00513414"/>
    <w:rsid w:val="005136A5"/>
    <w:rsid w:val="00513786"/>
    <w:rsid w:val="0051414C"/>
    <w:rsid w:val="00514541"/>
    <w:rsid w:val="005147AE"/>
    <w:rsid w:val="00514E37"/>
    <w:rsid w:val="00514ED5"/>
    <w:rsid w:val="005153DB"/>
    <w:rsid w:val="00515632"/>
    <w:rsid w:val="00515A4F"/>
    <w:rsid w:val="00515AB5"/>
    <w:rsid w:val="00515C21"/>
    <w:rsid w:val="005160AC"/>
    <w:rsid w:val="00516345"/>
    <w:rsid w:val="005165B4"/>
    <w:rsid w:val="00516B1C"/>
    <w:rsid w:val="005172E2"/>
    <w:rsid w:val="00517B8E"/>
    <w:rsid w:val="00517C6B"/>
    <w:rsid w:val="00517CD4"/>
    <w:rsid w:val="00517E8C"/>
    <w:rsid w:val="0052008E"/>
    <w:rsid w:val="005207E1"/>
    <w:rsid w:val="00520BE9"/>
    <w:rsid w:val="00520BFE"/>
    <w:rsid w:val="00520C83"/>
    <w:rsid w:val="0052121A"/>
    <w:rsid w:val="00521725"/>
    <w:rsid w:val="00521D3F"/>
    <w:rsid w:val="00521F41"/>
    <w:rsid w:val="0052218E"/>
    <w:rsid w:val="00522911"/>
    <w:rsid w:val="00522A49"/>
    <w:rsid w:val="00522B6B"/>
    <w:rsid w:val="00522C04"/>
    <w:rsid w:val="00522E0F"/>
    <w:rsid w:val="0052321E"/>
    <w:rsid w:val="00523373"/>
    <w:rsid w:val="005235CD"/>
    <w:rsid w:val="00523BA9"/>
    <w:rsid w:val="00523CAB"/>
    <w:rsid w:val="00523F28"/>
    <w:rsid w:val="0052413E"/>
    <w:rsid w:val="00524416"/>
    <w:rsid w:val="005249CB"/>
    <w:rsid w:val="00524A1A"/>
    <w:rsid w:val="00524CA2"/>
    <w:rsid w:val="00524D56"/>
    <w:rsid w:val="00524EDA"/>
    <w:rsid w:val="00524FFF"/>
    <w:rsid w:val="00525D1E"/>
    <w:rsid w:val="00526213"/>
    <w:rsid w:val="0052640A"/>
    <w:rsid w:val="005264E9"/>
    <w:rsid w:val="00526615"/>
    <w:rsid w:val="00527048"/>
    <w:rsid w:val="0052707F"/>
    <w:rsid w:val="0052752D"/>
    <w:rsid w:val="005278EA"/>
    <w:rsid w:val="00527A05"/>
    <w:rsid w:val="00527A61"/>
    <w:rsid w:val="0053025E"/>
    <w:rsid w:val="005307B7"/>
    <w:rsid w:val="00530915"/>
    <w:rsid w:val="00530B8B"/>
    <w:rsid w:val="00530E29"/>
    <w:rsid w:val="00530F1D"/>
    <w:rsid w:val="00530FA0"/>
    <w:rsid w:val="0053194C"/>
    <w:rsid w:val="005319C8"/>
    <w:rsid w:val="00531AC3"/>
    <w:rsid w:val="00531CBA"/>
    <w:rsid w:val="00531D65"/>
    <w:rsid w:val="00532395"/>
    <w:rsid w:val="00532996"/>
    <w:rsid w:val="00532A9D"/>
    <w:rsid w:val="00532ECB"/>
    <w:rsid w:val="0053339A"/>
    <w:rsid w:val="00533905"/>
    <w:rsid w:val="00534962"/>
    <w:rsid w:val="00534B6B"/>
    <w:rsid w:val="005350D8"/>
    <w:rsid w:val="00535192"/>
    <w:rsid w:val="00535625"/>
    <w:rsid w:val="005356B9"/>
    <w:rsid w:val="00535D58"/>
    <w:rsid w:val="005361AE"/>
    <w:rsid w:val="00536237"/>
    <w:rsid w:val="0053694F"/>
    <w:rsid w:val="00536A62"/>
    <w:rsid w:val="00536B10"/>
    <w:rsid w:val="00536D70"/>
    <w:rsid w:val="0053703A"/>
    <w:rsid w:val="00537052"/>
    <w:rsid w:val="00537487"/>
    <w:rsid w:val="00537548"/>
    <w:rsid w:val="00540529"/>
    <w:rsid w:val="0054065A"/>
    <w:rsid w:val="005409ED"/>
    <w:rsid w:val="00540ABB"/>
    <w:rsid w:val="00540C02"/>
    <w:rsid w:val="00540CA1"/>
    <w:rsid w:val="00540DB4"/>
    <w:rsid w:val="00540E40"/>
    <w:rsid w:val="00540F85"/>
    <w:rsid w:val="00542004"/>
    <w:rsid w:val="00542822"/>
    <w:rsid w:val="00542A01"/>
    <w:rsid w:val="00542E30"/>
    <w:rsid w:val="00542FEA"/>
    <w:rsid w:val="00543AB9"/>
    <w:rsid w:val="005440D8"/>
    <w:rsid w:val="005443A2"/>
    <w:rsid w:val="0054452E"/>
    <w:rsid w:val="00544B0C"/>
    <w:rsid w:val="0054516C"/>
    <w:rsid w:val="00545296"/>
    <w:rsid w:val="005452D9"/>
    <w:rsid w:val="0054532A"/>
    <w:rsid w:val="005456D5"/>
    <w:rsid w:val="00545C71"/>
    <w:rsid w:val="00545CFF"/>
    <w:rsid w:val="005460DF"/>
    <w:rsid w:val="00546182"/>
    <w:rsid w:val="0054658A"/>
    <w:rsid w:val="005466B9"/>
    <w:rsid w:val="00546870"/>
    <w:rsid w:val="005468BA"/>
    <w:rsid w:val="00546BB4"/>
    <w:rsid w:val="00546C5F"/>
    <w:rsid w:val="00546DE9"/>
    <w:rsid w:val="00546F6B"/>
    <w:rsid w:val="00547595"/>
    <w:rsid w:val="00547EFD"/>
    <w:rsid w:val="00550054"/>
    <w:rsid w:val="0055060E"/>
    <w:rsid w:val="00550989"/>
    <w:rsid w:val="00550C77"/>
    <w:rsid w:val="00550CB5"/>
    <w:rsid w:val="00550F4E"/>
    <w:rsid w:val="005510EB"/>
    <w:rsid w:val="00551134"/>
    <w:rsid w:val="005515E5"/>
    <w:rsid w:val="005521D7"/>
    <w:rsid w:val="00552A54"/>
    <w:rsid w:val="00552ABA"/>
    <w:rsid w:val="00552FCF"/>
    <w:rsid w:val="00553340"/>
    <w:rsid w:val="00553AA8"/>
    <w:rsid w:val="00553C7A"/>
    <w:rsid w:val="00553E24"/>
    <w:rsid w:val="00553E8D"/>
    <w:rsid w:val="00554256"/>
    <w:rsid w:val="005546DF"/>
    <w:rsid w:val="005548B3"/>
    <w:rsid w:val="005548CB"/>
    <w:rsid w:val="00554BF1"/>
    <w:rsid w:val="00554DE4"/>
    <w:rsid w:val="005553EB"/>
    <w:rsid w:val="00555A90"/>
    <w:rsid w:val="00555E79"/>
    <w:rsid w:val="00556286"/>
    <w:rsid w:val="005565C3"/>
    <w:rsid w:val="00556617"/>
    <w:rsid w:val="00556A13"/>
    <w:rsid w:val="00556D6E"/>
    <w:rsid w:val="00556D94"/>
    <w:rsid w:val="00556F14"/>
    <w:rsid w:val="00557A13"/>
    <w:rsid w:val="00557FC2"/>
    <w:rsid w:val="005609D1"/>
    <w:rsid w:val="00560A9F"/>
    <w:rsid w:val="005615F0"/>
    <w:rsid w:val="00561648"/>
    <w:rsid w:val="00561A3C"/>
    <w:rsid w:val="00561D89"/>
    <w:rsid w:val="0056227F"/>
    <w:rsid w:val="00562552"/>
    <w:rsid w:val="00562584"/>
    <w:rsid w:val="005625D6"/>
    <w:rsid w:val="0056273D"/>
    <w:rsid w:val="0056274E"/>
    <w:rsid w:val="005629F7"/>
    <w:rsid w:val="00562BFB"/>
    <w:rsid w:val="00562CF7"/>
    <w:rsid w:val="00562F1F"/>
    <w:rsid w:val="00562FC0"/>
    <w:rsid w:val="005631A8"/>
    <w:rsid w:val="00563E8B"/>
    <w:rsid w:val="005649D3"/>
    <w:rsid w:val="005650C5"/>
    <w:rsid w:val="00565338"/>
    <w:rsid w:val="0056597A"/>
    <w:rsid w:val="00565CA7"/>
    <w:rsid w:val="0056657C"/>
    <w:rsid w:val="00566D92"/>
    <w:rsid w:val="005673C1"/>
    <w:rsid w:val="00567C29"/>
    <w:rsid w:val="00567CEF"/>
    <w:rsid w:val="00567DF8"/>
    <w:rsid w:val="00567F35"/>
    <w:rsid w:val="0057015B"/>
    <w:rsid w:val="0057120A"/>
    <w:rsid w:val="00571CC2"/>
    <w:rsid w:val="0057216E"/>
    <w:rsid w:val="0057257D"/>
    <w:rsid w:val="00572904"/>
    <w:rsid w:val="00572924"/>
    <w:rsid w:val="0057295A"/>
    <w:rsid w:val="0057379B"/>
    <w:rsid w:val="00573A62"/>
    <w:rsid w:val="00574247"/>
    <w:rsid w:val="00574F77"/>
    <w:rsid w:val="005768D1"/>
    <w:rsid w:val="00576967"/>
    <w:rsid w:val="00577909"/>
    <w:rsid w:val="00577F48"/>
    <w:rsid w:val="0058011E"/>
    <w:rsid w:val="005807C3"/>
    <w:rsid w:val="00580A6F"/>
    <w:rsid w:val="00581299"/>
    <w:rsid w:val="00581A38"/>
    <w:rsid w:val="00581AC8"/>
    <w:rsid w:val="00581FDE"/>
    <w:rsid w:val="00582C9B"/>
    <w:rsid w:val="00582DED"/>
    <w:rsid w:val="00582E3E"/>
    <w:rsid w:val="00582F38"/>
    <w:rsid w:val="00583344"/>
    <w:rsid w:val="005835BF"/>
    <w:rsid w:val="00584586"/>
    <w:rsid w:val="00584C6E"/>
    <w:rsid w:val="00584CE7"/>
    <w:rsid w:val="00584E0B"/>
    <w:rsid w:val="005854A1"/>
    <w:rsid w:val="005854C6"/>
    <w:rsid w:val="00586305"/>
    <w:rsid w:val="00586597"/>
    <w:rsid w:val="00586711"/>
    <w:rsid w:val="00586849"/>
    <w:rsid w:val="00586F0C"/>
    <w:rsid w:val="0058703F"/>
    <w:rsid w:val="00587139"/>
    <w:rsid w:val="00587154"/>
    <w:rsid w:val="00587179"/>
    <w:rsid w:val="005871A0"/>
    <w:rsid w:val="005872E8"/>
    <w:rsid w:val="00587C9A"/>
    <w:rsid w:val="005906A6"/>
    <w:rsid w:val="00590B51"/>
    <w:rsid w:val="00590D98"/>
    <w:rsid w:val="005911CE"/>
    <w:rsid w:val="00591205"/>
    <w:rsid w:val="00591DA3"/>
    <w:rsid w:val="0059207C"/>
    <w:rsid w:val="005922A7"/>
    <w:rsid w:val="00592B7A"/>
    <w:rsid w:val="00592C64"/>
    <w:rsid w:val="00593942"/>
    <w:rsid w:val="00593BDE"/>
    <w:rsid w:val="0059402B"/>
    <w:rsid w:val="00594111"/>
    <w:rsid w:val="00594534"/>
    <w:rsid w:val="00594AB6"/>
    <w:rsid w:val="00594AC6"/>
    <w:rsid w:val="00595285"/>
    <w:rsid w:val="005952B2"/>
    <w:rsid w:val="005959FB"/>
    <w:rsid w:val="00595C54"/>
    <w:rsid w:val="00595F1E"/>
    <w:rsid w:val="0059668B"/>
    <w:rsid w:val="00596863"/>
    <w:rsid w:val="00596B8D"/>
    <w:rsid w:val="00596C96"/>
    <w:rsid w:val="005974D9"/>
    <w:rsid w:val="005A07C8"/>
    <w:rsid w:val="005A094A"/>
    <w:rsid w:val="005A0B86"/>
    <w:rsid w:val="005A0C27"/>
    <w:rsid w:val="005A0D1A"/>
    <w:rsid w:val="005A172E"/>
    <w:rsid w:val="005A1B7E"/>
    <w:rsid w:val="005A20E9"/>
    <w:rsid w:val="005A27EB"/>
    <w:rsid w:val="005A2A14"/>
    <w:rsid w:val="005A2A4F"/>
    <w:rsid w:val="005A301E"/>
    <w:rsid w:val="005A3463"/>
    <w:rsid w:val="005A4054"/>
    <w:rsid w:val="005A405E"/>
    <w:rsid w:val="005A4454"/>
    <w:rsid w:val="005A44A0"/>
    <w:rsid w:val="005A46D2"/>
    <w:rsid w:val="005A50BF"/>
    <w:rsid w:val="005A5BE9"/>
    <w:rsid w:val="005A65B2"/>
    <w:rsid w:val="005A6F75"/>
    <w:rsid w:val="005A7501"/>
    <w:rsid w:val="005A7850"/>
    <w:rsid w:val="005A7BA6"/>
    <w:rsid w:val="005B0986"/>
    <w:rsid w:val="005B1001"/>
    <w:rsid w:val="005B15D7"/>
    <w:rsid w:val="005B1786"/>
    <w:rsid w:val="005B1984"/>
    <w:rsid w:val="005B19B9"/>
    <w:rsid w:val="005B1FF7"/>
    <w:rsid w:val="005B205D"/>
    <w:rsid w:val="005B2693"/>
    <w:rsid w:val="005B26D3"/>
    <w:rsid w:val="005B271C"/>
    <w:rsid w:val="005B273A"/>
    <w:rsid w:val="005B2998"/>
    <w:rsid w:val="005B3883"/>
    <w:rsid w:val="005B38BB"/>
    <w:rsid w:val="005B3E13"/>
    <w:rsid w:val="005B3FED"/>
    <w:rsid w:val="005B45A1"/>
    <w:rsid w:val="005B5094"/>
    <w:rsid w:val="005B50FD"/>
    <w:rsid w:val="005B56FB"/>
    <w:rsid w:val="005B5875"/>
    <w:rsid w:val="005B5A76"/>
    <w:rsid w:val="005B5B25"/>
    <w:rsid w:val="005B5C39"/>
    <w:rsid w:val="005B5FFF"/>
    <w:rsid w:val="005B6536"/>
    <w:rsid w:val="005B6554"/>
    <w:rsid w:val="005B6DBA"/>
    <w:rsid w:val="005B6FB1"/>
    <w:rsid w:val="005B73D2"/>
    <w:rsid w:val="005B7824"/>
    <w:rsid w:val="005C08CB"/>
    <w:rsid w:val="005C124D"/>
    <w:rsid w:val="005C162F"/>
    <w:rsid w:val="005C17FA"/>
    <w:rsid w:val="005C1964"/>
    <w:rsid w:val="005C28A1"/>
    <w:rsid w:val="005C2FE7"/>
    <w:rsid w:val="005C3112"/>
    <w:rsid w:val="005C3224"/>
    <w:rsid w:val="005C3C50"/>
    <w:rsid w:val="005C3D0D"/>
    <w:rsid w:val="005C3F59"/>
    <w:rsid w:val="005C4A7C"/>
    <w:rsid w:val="005C4D25"/>
    <w:rsid w:val="005C4FC7"/>
    <w:rsid w:val="005C52BD"/>
    <w:rsid w:val="005C53B3"/>
    <w:rsid w:val="005C59C9"/>
    <w:rsid w:val="005C5DCB"/>
    <w:rsid w:val="005C6327"/>
    <w:rsid w:val="005C70E4"/>
    <w:rsid w:val="005C76F6"/>
    <w:rsid w:val="005C7A3C"/>
    <w:rsid w:val="005D0682"/>
    <w:rsid w:val="005D0C23"/>
    <w:rsid w:val="005D17B2"/>
    <w:rsid w:val="005D1B66"/>
    <w:rsid w:val="005D2425"/>
    <w:rsid w:val="005D2955"/>
    <w:rsid w:val="005D2F89"/>
    <w:rsid w:val="005D2FEA"/>
    <w:rsid w:val="005D334B"/>
    <w:rsid w:val="005D384E"/>
    <w:rsid w:val="005D38EE"/>
    <w:rsid w:val="005D39D4"/>
    <w:rsid w:val="005D3CDC"/>
    <w:rsid w:val="005D3E34"/>
    <w:rsid w:val="005D461B"/>
    <w:rsid w:val="005D470C"/>
    <w:rsid w:val="005D477D"/>
    <w:rsid w:val="005D4E6E"/>
    <w:rsid w:val="005D4F4A"/>
    <w:rsid w:val="005D5393"/>
    <w:rsid w:val="005D5898"/>
    <w:rsid w:val="005D61DA"/>
    <w:rsid w:val="005D6DDC"/>
    <w:rsid w:val="005D7171"/>
    <w:rsid w:val="005D7430"/>
    <w:rsid w:val="005D76CD"/>
    <w:rsid w:val="005D7717"/>
    <w:rsid w:val="005D7A3F"/>
    <w:rsid w:val="005E0041"/>
    <w:rsid w:val="005E00A2"/>
    <w:rsid w:val="005E0520"/>
    <w:rsid w:val="005E063D"/>
    <w:rsid w:val="005E0965"/>
    <w:rsid w:val="005E0ADB"/>
    <w:rsid w:val="005E0CB6"/>
    <w:rsid w:val="005E0EFC"/>
    <w:rsid w:val="005E10BD"/>
    <w:rsid w:val="005E1407"/>
    <w:rsid w:val="005E1C2F"/>
    <w:rsid w:val="005E1D1B"/>
    <w:rsid w:val="005E2BDF"/>
    <w:rsid w:val="005E3294"/>
    <w:rsid w:val="005E335F"/>
    <w:rsid w:val="005E36C5"/>
    <w:rsid w:val="005E3D19"/>
    <w:rsid w:val="005E4173"/>
    <w:rsid w:val="005E4419"/>
    <w:rsid w:val="005E47C5"/>
    <w:rsid w:val="005E4D50"/>
    <w:rsid w:val="005E4EC9"/>
    <w:rsid w:val="005E4EE6"/>
    <w:rsid w:val="005E55FC"/>
    <w:rsid w:val="005E5A7B"/>
    <w:rsid w:val="005E5B31"/>
    <w:rsid w:val="005E5D43"/>
    <w:rsid w:val="005E63A5"/>
    <w:rsid w:val="005E6A19"/>
    <w:rsid w:val="005E6B7E"/>
    <w:rsid w:val="005E6FD1"/>
    <w:rsid w:val="005E70CA"/>
    <w:rsid w:val="005E751F"/>
    <w:rsid w:val="005E768D"/>
    <w:rsid w:val="005E76AC"/>
    <w:rsid w:val="005E76F2"/>
    <w:rsid w:val="005F0144"/>
    <w:rsid w:val="005F01E6"/>
    <w:rsid w:val="005F0221"/>
    <w:rsid w:val="005F0584"/>
    <w:rsid w:val="005F09F7"/>
    <w:rsid w:val="005F0AC6"/>
    <w:rsid w:val="005F0E30"/>
    <w:rsid w:val="005F11C4"/>
    <w:rsid w:val="005F1387"/>
    <w:rsid w:val="005F1A86"/>
    <w:rsid w:val="005F1AE2"/>
    <w:rsid w:val="005F1FA0"/>
    <w:rsid w:val="005F2EBC"/>
    <w:rsid w:val="005F2F5A"/>
    <w:rsid w:val="005F3035"/>
    <w:rsid w:val="005F311E"/>
    <w:rsid w:val="005F3525"/>
    <w:rsid w:val="005F3862"/>
    <w:rsid w:val="005F3EDA"/>
    <w:rsid w:val="005F42D4"/>
    <w:rsid w:val="005F44DF"/>
    <w:rsid w:val="005F4696"/>
    <w:rsid w:val="005F475D"/>
    <w:rsid w:val="005F48C9"/>
    <w:rsid w:val="005F4A95"/>
    <w:rsid w:val="005F4BC9"/>
    <w:rsid w:val="005F517A"/>
    <w:rsid w:val="005F55D9"/>
    <w:rsid w:val="005F5633"/>
    <w:rsid w:val="005F57AF"/>
    <w:rsid w:val="005F5D13"/>
    <w:rsid w:val="005F5E08"/>
    <w:rsid w:val="005F5F01"/>
    <w:rsid w:val="005F6088"/>
    <w:rsid w:val="005F61F2"/>
    <w:rsid w:val="005F61FD"/>
    <w:rsid w:val="005F6348"/>
    <w:rsid w:val="005F6E04"/>
    <w:rsid w:val="005F707B"/>
    <w:rsid w:val="005F75F5"/>
    <w:rsid w:val="005F7667"/>
    <w:rsid w:val="005F792B"/>
    <w:rsid w:val="00600293"/>
    <w:rsid w:val="0060056D"/>
    <w:rsid w:val="00600AE3"/>
    <w:rsid w:val="006016C0"/>
    <w:rsid w:val="00601CBC"/>
    <w:rsid w:val="00601D53"/>
    <w:rsid w:val="006020E5"/>
    <w:rsid w:val="006024AD"/>
    <w:rsid w:val="00602A3C"/>
    <w:rsid w:val="00602A68"/>
    <w:rsid w:val="00602C05"/>
    <w:rsid w:val="00605265"/>
    <w:rsid w:val="00605373"/>
    <w:rsid w:val="006056DF"/>
    <w:rsid w:val="00606B91"/>
    <w:rsid w:val="00607251"/>
    <w:rsid w:val="00607275"/>
    <w:rsid w:val="006072FB"/>
    <w:rsid w:val="0060730F"/>
    <w:rsid w:val="00607610"/>
    <w:rsid w:val="00607E68"/>
    <w:rsid w:val="006100AC"/>
    <w:rsid w:val="0061055A"/>
    <w:rsid w:val="00610A32"/>
    <w:rsid w:val="00610ACD"/>
    <w:rsid w:val="00610E88"/>
    <w:rsid w:val="00611088"/>
    <w:rsid w:val="00611090"/>
    <w:rsid w:val="006111E2"/>
    <w:rsid w:val="0061136E"/>
    <w:rsid w:val="0061168D"/>
    <w:rsid w:val="00612081"/>
    <w:rsid w:val="006126C7"/>
    <w:rsid w:val="0061298D"/>
    <w:rsid w:val="006129B0"/>
    <w:rsid w:val="00612BBB"/>
    <w:rsid w:val="00612C65"/>
    <w:rsid w:val="0061343D"/>
    <w:rsid w:val="006137A0"/>
    <w:rsid w:val="00614128"/>
    <w:rsid w:val="006149A4"/>
    <w:rsid w:val="006150A3"/>
    <w:rsid w:val="00615306"/>
    <w:rsid w:val="00615743"/>
    <w:rsid w:val="006158F4"/>
    <w:rsid w:val="00615A42"/>
    <w:rsid w:val="00615B9A"/>
    <w:rsid w:val="006167DA"/>
    <w:rsid w:val="00616A46"/>
    <w:rsid w:val="00616B2E"/>
    <w:rsid w:val="00617D10"/>
    <w:rsid w:val="006200DC"/>
    <w:rsid w:val="0062060E"/>
    <w:rsid w:val="0062075C"/>
    <w:rsid w:val="00620C36"/>
    <w:rsid w:val="00620C57"/>
    <w:rsid w:val="00621A7A"/>
    <w:rsid w:val="00622789"/>
    <w:rsid w:val="00622841"/>
    <w:rsid w:val="006228AB"/>
    <w:rsid w:val="00622D8C"/>
    <w:rsid w:val="00623163"/>
    <w:rsid w:val="006233DE"/>
    <w:rsid w:val="006235BA"/>
    <w:rsid w:val="0062363A"/>
    <w:rsid w:val="0062364B"/>
    <w:rsid w:val="00623DBA"/>
    <w:rsid w:val="00623FE0"/>
    <w:rsid w:val="0062417E"/>
    <w:rsid w:val="006242BB"/>
    <w:rsid w:val="006245F6"/>
    <w:rsid w:val="00625326"/>
    <w:rsid w:val="00625533"/>
    <w:rsid w:val="0062584E"/>
    <w:rsid w:val="00626067"/>
    <w:rsid w:val="00626821"/>
    <w:rsid w:val="00626854"/>
    <w:rsid w:val="00626A9D"/>
    <w:rsid w:val="00626DD5"/>
    <w:rsid w:val="00627AA9"/>
    <w:rsid w:val="0063043F"/>
    <w:rsid w:val="00631DA2"/>
    <w:rsid w:val="00631DCB"/>
    <w:rsid w:val="00632368"/>
    <w:rsid w:val="00632563"/>
    <w:rsid w:val="006325D0"/>
    <w:rsid w:val="00632D45"/>
    <w:rsid w:val="00632FCB"/>
    <w:rsid w:val="00633036"/>
    <w:rsid w:val="006332C9"/>
    <w:rsid w:val="006336F0"/>
    <w:rsid w:val="00633ADC"/>
    <w:rsid w:val="0063432F"/>
    <w:rsid w:val="006343E3"/>
    <w:rsid w:val="00634740"/>
    <w:rsid w:val="00634796"/>
    <w:rsid w:val="0063497C"/>
    <w:rsid w:val="006353F5"/>
    <w:rsid w:val="006357CC"/>
    <w:rsid w:val="00635C20"/>
    <w:rsid w:val="006361FC"/>
    <w:rsid w:val="00636A47"/>
    <w:rsid w:val="00637AA2"/>
    <w:rsid w:val="00637B3B"/>
    <w:rsid w:val="0064068E"/>
    <w:rsid w:val="00640C62"/>
    <w:rsid w:val="00640D84"/>
    <w:rsid w:val="00641F10"/>
    <w:rsid w:val="00641FB2"/>
    <w:rsid w:val="00642776"/>
    <w:rsid w:val="0064287F"/>
    <w:rsid w:val="00643A54"/>
    <w:rsid w:val="00643B1E"/>
    <w:rsid w:val="0064455D"/>
    <w:rsid w:val="00644E1E"/>
    <w:rsid w:val="0064508E"/>
    <w:rsid w:val="006450E9"/>
    <w:rsid w:val="006450ED"/>
    <w:rsid w:val="0064546B"/>
    <w:rsid w:val="00645477"/>
    <w:rsid w:val="00645878"/>
    <w:rsid w:val="00645959"/>
    <w:rsid w:val="00645D4C"/>
    <w:rsid w:val="00646156"/>
    <w:rsid w:val="0064636F"/>
    <w:rsid w:val="006465FE"/>
    <w:rsid w:val="006467A0"/>
    <w:rsid w:val="00646E7A"/>
    <w:rsid w:val="00647152"/>
    <w:rsid w:val="00647447"/>
    <w:rsid w:val="00647B86"/>
    <w:rsid w:val="00647E07"/>
    <w:rsid w:val="00650B1C"/>
    <w:rsid w:val="00650BDE"/>
    <w:rsid w:val="00650CD6"/>
    <w:rsid w:val="006512E9"/>
    <w:rsid w:val="006513ED"/>
    <w:rsid w:val="00651618"/>
    <w:rsid w:val="00651845"/>
    <w:rsid w:val="00651B87"/>
    <w:rsid w:val="00651D2B"/>
    <w:rsid w:val="00652C3A"/>
    <w:rsid w:val="00652EFD"/>
    <w:rsid w:val="00653505"/>
    <w:rsid w:val="00654071"/>
    <w:rsid w:val="00654283"/>
    <w:rsid w:val="00655740"/>
    <w:rsid w:val="006558B9"/>
    <w:rsid w:val="00655ACA"/>
    <w:rsid w:val="00656088"/>
    <w:rsid w:val="00656232"/>
    <w:rsid w:val="00656A5D"/>
    <w:rsid w:val="00656A93"/>
    <w:rsid w:val="0065743C"/>
    <w:rsid w:val="006576F9"/>
    <w:rsid w:val="006578E1"/>
    <w:rsid w:val="006579FB"/>
    <w:rsid w:val="00657E5F"/>
    <w:rsid w:val="00660382"/>
    <w:rsid w:val="00660859"/>
    <w:rsid w:val="00660D82"/>
    <w:rsid w:val="00661ADE"/>
    <w:rsid w:val="00661D8D"/>
    <w:rsid w:val="00661ECF"/>
    <w:rsid w:val="00661FB7"/>
    <w:rsid w:val="00662157"/>
    <w:rsid w:val="00662188"/>
    <w:rsid w:val="00662439"/>
    <w:rsid w:val="00662AF7"/>
    <w:rsid w:val="00662BA4"/>
    <w:rsid w:val="006630AD"/>
    <w:rsid w:val="00663140"/>
    <w:rsid w:val="006634F6"/>
    <w:rsid w:val="00663500"/>
    <w:rsid w:val="00663B3B"/>
    <w:rsid w:val="00663CE7"/>
    <w:rsid w:val="00663D5B"/>
    <w:rsid w:val="00663D97"/>
    <w:rsid w:val="00664327"/>
    <w:rsid w:val="00664348"/>
    <w:rsid w:val="0066488D"/>
    <w:rsid w:val="00664AB1"/>
    <w:rsid w:val="00664EE1"/>
    <w:rsid w:val="0066528E"/>
    <w:rsid w:val="00666259"/>
    <w:rsid w:val="006662D1"/>
    <w:rsid w:val="00666554"/>
    <w:rsid w:val="00666636"/>
    <w:rsid w:val="00667164"/>
    <w:rsid w:val="0066749C"/>
    <w:rsid w:val="00670172"/>
    <w:rsid w:val="006707C0"/>
    <w:rsid w:val="006707F5"/>
    <w:rsid w:val="00670A6A"/>
    <w:rsid w:val="006714F2"/>
    <w:rsid w:val="00672006"/>
    <w:rsid w:val="0067230A"/>
    <w:rsid w:val="006725F8"/>
    <w:rsid w:val="0067261B"/>
    <w:rsid w:val="00672849"/>
    <w:rsid w:val="00674288"/>
    <w:rsid w:val="006744D9"/>
    <w:rsid w:val="00674E73"/>
    <w:rsid w:val="00675416"/>
    <w:rsid w:val="006759F3"/>
    <w:rsid w:val="006760CC"/>
    <w:rsid w:val="0067632D"/>
    <w:rsid w:val="0067677F"/>
    <w:rsid w:val="00676783"/>
    <w:rsid w:val="00676E88"/>
    <w:rsid w:val="006771A0"/>
    <w:rsid w:val="00677518"/>
    <w:rsid w:val="00677876"/>
    <w:rsid w:val="006779A4"/>
    <w:rsid w:val="00677B23"/>
    <w:rsid w:val="00682868"/>
    <w:rsid w:val="006828E7"/>
    <w:rsid w:val="00682B32"/>
    <w:rsid w:val="00683216"/>
    <w:rsid w:val="00683ABD"/>
    <w:rsid w:val="00684A8E"/>
    <w:rsid w:val="0068509B"/>
    <w:rsid w:val="006854DD"/>
    <w:rsid w:val="00685659"/>
    <w:rsid w:val="00685A07"/>
    <w:rsid w:val="00685E6C"/>
    <w:rsid w:val="00685F9F"/>
    <w:rsid w:val="00685FBF"/>
    <w:rsid w:val="00686168"/>
    <w:rsid w:val="00686250"/>
    <w:rsid w:val="00687169"/>
    <w:rsid w:val="00687353"/>
    <w:rsid w:val="006878AD"/>
    <w:rsid w:val="00687CF5"/>
    <w:rsid w:val="00690E05"/>
    <w:rsid w:val="00690FB6"/>
    <w:rsid w:val="006917EE"/>
    <w:rsid w:val="00691ABA"/>
    <w:rsid w:val="00691B8B"/>
    <w:rsid w:val="006920F6"/>
    <w:rsid w:val="0069227E"/>
    <w:rsid w:val="006928ED"/>
    <w:rsid w:val="00692958"/>
    <w:rsid w:val="00692ADA"/>
    <w:rsid w:val="00693A1E"/>
    <w:rsid w:val="00693BEC"/>
    <w:rsid w:val="00693F02"/>
    <w:rsid w:val="0069407E"/>
    <w:rsid w:val="00694443"/>
    <w:rsid w:val="00694546"/>
    <w:rsid w:val="006945D6"/>
    <w:rsid w:val="006945DC"/>
    <w:rsid w:val="00694AA1"/>
    <w:rsid w:val="00694BD4"/>
    <w:rsid w:val="00694CD6"/>
    <w:rsid w:val="00695726"/>
    <w:rsid w:val="00695795"/>
    <w:rsid w:val="00695801"/>
    <w:rsid w:val="006958BE"/>
    <w:rsid w:val="00695D73"/>
    <w:rsid w:val="0069602F"/>
    <w:rsid w:val="006960FE"/>
    <w:rsid w:val="00696201"/>
    <w:rsid w:val="00696ABC"/>
    <w:rsid w:val="00696BDC"/>
    <w:rsid w:val="00696D08"/>
    <w:rsid w:val="00697739"/>
    <w:rsid w:val="00697AEF"/>
    <w:rsid w:val="006A06B7"/>
    <w:rsid w:val="006A06DB"/>
    <w:rsid w:val="006A0728"/>
    <w:rsid w:val="006A0826"/>
    <w:rsid w:val="006A0D2E"/>
    <w:rsid w:val="006A0D73"/>
    <w:rsid w:val="006A0DB6"/>
    <w:rsid w:val="006A108A"/>
    <w:rsid w:val="006A1BDA"/>
    <w:rsid w:val="006A1D75"/>
    <w:rsid w:val="006A1DF6"/>
    <w:rsid w:val="006A27F2"/>
    <w:rsid w:val="006A2F72"/>
    <w:rsid w:val="006A3063"/>
    <w:rsid w:val="006A3287"/>
    <w:rsid w:val="006A34E0"/>
    <w:rsid w:val="006A37B2"/>
    <w:rsid w:val="006A3D86"/>
    <w:rsid w:val="006A3E3C"/>
    <w:rsid w:val="006A3F2F"/>
    <w:rsid w:val="006A41A5"/>
    <w:rsid w:val="006A485A"/>
    <w:rsid w:val="006A4B93"/>
    <w:rsid w:val="006A574D"/>
    <w:rsid w:val="006A5819"/>
    <w:rsid w:val="006A591C"/>
    <w:rsid w:val="006A5A43"/>
    <w:rsid w:val="006A5B32"/>
    <w:rsid w:val="006A6671"/>
    <w:rsid w:val="006A6B5D"/>
    <w:rsid w:val="006A75CD"/>
    <w:rsid w:val="006A7877"/>
    <w:rsid w:val="006A795F"/>
    <w:rsid w:val="006A7E4D"/>
    <w:rsid w:val="006B0646"/>
    <w:rsid w:val="006B0948"/>
    <w:rsid w:val="006B1102"/>
    <w:rsid w:val="006B1471"/>
    <w:rsid w:val="006B1772"/>
    <w:rsid w:val="006B1B60"/>
    <w:rsid w:val="006B1F1D"/>
    <w:rsid w:val="006B2DFB"/>
    <w:rsid w:val="006B3365"/>
    <w:rsid w:val="006B34F4"/>
    <w:rsid w:val="006B35C7"/>
    <w:rsid w:val="006B365E"/>
    <w:rsid w:val="006B3A79"/>
    <w:rsid w:val="006B3C37"/>
    <w:rsid w:val="006B4EAA"/>
    <w:rsid w:val="006B4F1F"/>
    <w:rsid w:val="006B4F5A"/>
    <w:rsid w:val="006B5410"/>
    <w:rsid w:val="006B5C06"/>
    <w:rsid w:val="006B5FA9"/>
    <w:rsid w:val="006B62EF"/>
    <w:rsid w:val="006B638F"/>
    <w:rsid w:val="006B6EE3"/>
    <w:rsid w:val="006B7550"/>
    <w:rsid w:val="006B7A2F"/>
    <w:rsid w:val="006B7B8A"/>
    <w:rsid w:val="006B7F87"/>
    <w:rsid w:val="006C00B1"/>
    <w:rsid w:val="006C04BC"/>
    <w:rsid w:val="006C0C6A"/>
    <w:rsid w:val="006C0CD5"/>
    <w:rsid w:val="006C0E8A"/>
    <w:rsid w:val="006C1098"/>
    <w:rsid w:val="006C15EB"/>
    <w:rsid w:val="006C20D3"/>
    <w:rsid w:val="006C244B"/>
    <w:rsid w:val="006C2602"/>
    <w:rsid w:val="006C27F3"/>
    <w:rsid w:val="006C2CD8"/>
    <w:rsid w:val="006C31C0"/>
    <w:rsid w:val="006C35CA"/>
    <w:rsid w:val="006C3701"/>
    <w:rsid w:val="006C3939"/>
    <w:rsid w:val="006C3BD9"/>
    <w:rsid w:val="006C3C6E"/>
    <w:rsid w:val="006C4275"/>
    <w:rsid w:val="006C4A50"/>
    <w:rsid w:val="006C4DC0"/>
    <w:rsid w:val="006C52EF"/>
    <w:rsid w:val="006C5457"/>
    <w:rsid w:val="006C6267"/>
    <w:rsid w:val="006C6B55"/>
    <w:rsid w:val="006C6CC7"/>
    <w:rsid w:val="006C70A4"/>
    <w:rsid w:val="006C70EE"/>
    <w:rsid w:val="006C7141"/>
    <w:rsid w:val="006C71E0"/>
    <w:rsid w:val="006C7CCF"/>
    <w:rsid w:val="006D0F80"/>
    <w:rsid w:val="006D1681"/>
    <w:rsid w:val="006D1BD0"/>
    <w:rsid w:val="006D1CEB"/>
    <w:rsid w:val="006D1E52"/>
    <w:rsid w:val="006D243C"/>
    <w:rsid w:val="006D2541"/>
    <w:rsid w:val="006D3341"/>
    <w:rsid w:val="006D43BF"/>
    <w:rsid w:val="006D4B1D"/>
    <w:rsid w:val="006D550D"/>
    <w:rsid w:val="006D6167"/>
    <w:rsid w:val="006D6654"/>
    <w:rsid w:val="006D6A1B"/>
    <w:rsid w:val="006D72F4"/>
    <w:rsid w:val="006D7668"/>
    <w:rsid w:val="006D781C"/>
    <w:rsid w:val="006D7AF5"/>
    <w:rsid w:val="006D7DC5"/>
    <w:rsid w:val="006D7F8C"/>
    <w:rsid w:val="006E07A7"/>
    <w:rsid w:val="006E0E9D"/>
    <w:rsid w:val="006E1A3D"/>
    <w:rsid w:val="006E1C86"/>
    <w:rsid w:val="006E1D25"/>
    <w:rsid w:val="006E291D"/>
    <w:rsid w:val="006E2BA4"/>
    <w:rsid w:val="006E4126"/>
    <w:rsid w:val="006E4494"/>
    <w:rsid w:val="006E46DF"/>
    <w:rsid w:val="006E5789"/>
    <w:rsid w:val="006E63DE"/>
    <w:rsid w:val="006E6548"/>
    <w:rsid w:val="006E6639"/>
    <w:rsid w:val="006E6A21"/>
    <w:rsid w:val="006E6BEB"/>
    <w:rsid w:val="006E6E71"/>
    <w:rsid w:val="006E6FB4"/>
    <w:rsid w:val="006E709D"/>
    <w:rsid w:val="006E70D0"/>
    <w:rsid w:val="006E7177"/>
    <w:rsid w:val="006E729C"/>
    <w:rsid w:val="006E7368"/>
    <w:rsid w:val="006E75E9"/>
    <w:rsid w:val="006E7E18"/>
    <w:rsid w:val="006F0522"/>
    <w:rsid w:val="006F0739"/>
    <w:rsid w:val="006F0884"/>
    <w:rsid w:val="006F0E96"/>
    <w:rsid w:val="006F0EA6"/>
    <w:rsid w:val="006F155D"/>
    <w:rsid w:val="006F157B"/>
    <w:rsid w:val="006F21A3"/>
    <w:rsid w:val="006F2B2D"/>
    <w:rsid w:val="006F2C01"/>
    <w:rsid w:val="006F35AE"/>
    <w:rsid w:val="006F36D2"/>
    <w:rsid w:val="006F4108"/>
    <w:rsid w:val="006F48E7"/>
    <w:rsid w:val="006F5611"/>
    <w:rsid w:val="006F58B0"/>
    <w:rsid w:val="006F5D31"/>
    <w:rsid w:val="006F5D54"/>
    <w:rsid w:val="006F7583"/>
    <w:rsid w:val="006F7C65"/>
    <w:rsid w:val="006F7D5F"/>
    <w:rsid w:val="00700498"/>
    <w:rsid w:val="00700666"/>
    <w:rsid w:val="0070088E"/>
    <w:rsid w:val="00701233"/>
    <w:rsid w:val="00701511"/>
    <w:rsid w:val="0070191B"/>
    <w:rsid w:val="00702DAB"/>
    <w:rsid w:val="007030D5"/>
    <w:rsid w:val="007032A9"/>
    <w:rsid w:val="007033A6"/>
    <w:rsid w:val="007033B1"/>
    <w:rsid w:val="00703ED9"/>
    <w:rsid w:val="00703F45"/>
    <w:rsid w:val="00704AA9"/>
    <w:rsid w:val="00704D79"/>
    <w:rsid w:val="00705143"/>
    <w:rsid w:val="007052BD"/>
    <w:rsid w:val="00705D72"/>
    <w:rsid w:val="00706491"/>
    <w:rsid w:val="007067A0"/>
    <w:rsid w:val="0070688A"/>
    <w:rsid w:val="00706A69"/>
    <w:rsid w:val="00706C0F"/>
    <w:rsid w:val="00706EEB"/>
    <w:rsid w:val="00706F7D"/>
    <w:rsid w:val="00707134"/>
    <w:rsid w:val="0070714E"/>
    <w:rsid w:val="00707258"/>
    <w:rsid w:val="00707273"/>
    <w:rsid w:val="00707DC3"/>
    <w:rsid w:val="00710322"/>
    <w:rsid w:val="007105A7"/>
    <w:rsid w:val="007107B4"/>
    <w:rsid w:val="00710DE4"/>
    <w:rsid w:val="00710F68"/>
    <w:rsid w:val="00710FF4"/>
    <w:rsid w:val="007116CE"/>
    <w:rsid w:val="00712223"/>
    <w:rsid w:val="007125BC"/>
    <w:rsid w:val="007126DB"/>
    <w:rsid w:val="007130FC"/>
    <w:rsid w:val="0071322B"/>
    <w:rsid w:val="00713976"/>
    <w:rsid w:val="00713C5C"/>
    <w:rsid w:val="00713D48"/>
    <w:rsid w:val="0071400F"/>
    <w:rsid w:val="0071431C"/>
    <w:rsid w:val="0071438F"/>
    <w:rsid w:val="007148A5"/>
    <w:rsid w:val="00714FBD"/>
    <w:rsid w:val="00715E55"/>
    <w:rsid w:val="007169C6"/>
    <w:rsid w:val="007169F7"/>
    <w:rsid w:val="00717370"/>
    <w:rsid w:val="0072072F"/>
    <w:rsid w:val="00720892"/>
    <w:rsid w:val="00720F3C"/>
    <w:rsid w:val="00721152"/>
    <w:rsid w:val="0072135F"/>
    <w:rsid w:val="0072137E"/>
    <w:rsid w:val="0072150B"/>
    <w:rsid w:val="007218B3"/>
    <w:rsid w:val="00721D38"/>
    <w:rsid w:val="00721DA5"/>
    <w:rsid w:val="00722607"/>
    <w:rsid w:val="00722B23"/>
    <w:rsid w:val="00722FD8"/>
    <w:rsid w:val="00723084"/>
    <w:rsid w:val="007235F8"/>
    <w:rsid w:val="00723849"/>
    <w:rsid w:val="00723B16"/>
    <w:rsid w:val="00723B26"/>
    <w:rsid w:val="00723F8C"/>
    <w:rsid w:val="007246E5"/>
    <w:rsid w:val="0072535C"/>
    <w:rsid w:val="00725A27"/>
    <w:rsid w:val="00725BB4"/>
    <w:rsid w:val="00725FC6"/>
    <w:rsid w:val="00726402"/>
    <w:rsid w:val="0072670B"/>
    <w:rsid w:val="0072672E"/>
    <w:rsid w:val="00726953"/>
    <w:rsid w:val="00726F97"/>
    <w:rsid w:val="007274BC"/>
    <w:rsid w:val="00727743"/>
    <w:rsid w:val="00727B84"/>
    <w:rsid w:val="00727F09"/>
    <w:rsid w:val="00730107"/>
    <w:rsid w:val="007303E8"/>
    <w:rsid w:val="0073068D"/>
    <w:rsid w:val="00730FCC"/>
    <w:rsid w:val="00731041"/>
    <w:rsid w:val="00731978"/>
    <w:rsid w:val="00732819"/>
    <w:rsid w:val="00732A9D"/>
    <w:rsid w:val="00733076"/>
    <w:rsid w:val="007331FA"/>
    <w:rsid w:val="00733F72"/>
    <w:rsid w:val="0073435D"/>
    <w:rsid w:val="007347B9"/>
    <w:rsid w:val="0073491C"/>
    <w:rsid w:val="00734EFF"/>
    <w:rsid w:val="007354FD"/>
    <w:rsid w:val="00735DA0"/>
    <w:rsid w:val="00735E64"/>
    <w:rsid w:val="007365EB"/>
    <w:rsid w:val="00736792"/>
    <w:rsid w:val="00736829"/>
    <w:rsid w:val="00736EFE"/>
    <w:rsid w:val="00737199"/>
    <w:rsid w:val="00737567"/>
    <w:rsid w:val="00737FD8"/>
    <w:rsid w:val="0074008A"/>
    <w:rsid w:val="0074008B"/>
    <w:rsid w:val="00740C8D"/>
    <w:rsid w:val="00740F8A"/>
    <w:rsid w:val="00741066"/>
    <w:rsid w:val="0074160C"/>
    <w:rsid w:val="007422FE"/>
    <w:rsid w:val="00742383"/>
    <w:rsid w:val="00742E7E"/>
    <w:rsid w:val="007439BC"/>
    <w:rsid w:val="00743A8D"/>
    <w:rsid w:val="0074409F"/>
    <w:rsid w:val="00744716"/>
    <w:rsid w:val="00744953"/>
    <w:rsid w:val="00744C63"/>
    <w:rsid w:val="00744DC7"/>
    <w:rsid w:val="007453A8"/>
    <w:rsid w:val="007455E6"/>
    <w:rsid w:val="00745949"/>
    <w:rsid w:val="00745FF6"/>
    <w:rsid w:val="00746A50"/>
    <w:rsid w:val="0074714B"/>
    <w:rsid w:val="00747272"/>
    <w:rsid w:val="00747C88"/>
    <w:rsid w:val="00747EA9"/>
    <w:rsid w:val="0075000E"/>
    <w:rsid w:val="007500E9"/>
    <w:rsid w:val="00751593"/>
    <w:rsid w:val="00751B36"/>
    <w:rsid w:val="00751D66"/>
    <w:rsid w:val="00751E18"/>
    <w:rsid w:val="00752A28"/>
    <w:rsid w:val="00752C47"/>
    <w:rsid w:val="00753749"/>
    <w:rsid w:val="007538D0"/>
    <w:rsid w:val="00753BA8"/>
    <w:rsid w:val="00753BBF"/>
    <w:rsid w:val="00753F38"/>
    <w:rsid w:val="00754054"/>
    <w:rsid w:val="007545D9"/>
    <w:rsid w:val="0075486D"/>
    <w:rsid w:val="0075488F"/>
    <w:rsid w:val="00754D2B"/>
    <w:rsid w:val="00754D95"/>
    <w:rsid w:val="00754E7E"/>
    <w:rsid w:val="00755326"/>
    <w:rsid w:val="007553A9"/>
    <w:rsid w:val="0075557B"/>
    <w:rsid w:val="007557CE"/>
    <w:rsid w:val="00755908"/>
    <w:rsid w:val="007559CC"/>
    <w:rsid w:val="00755ACF"/>
    <w:rsid w:val="00755FFE"/>
    <w:rsid w:val="00756392"/>
    <w:rsid w:val="007569F6"/>
    <w:rsid w:val="00756EDB"/>
    <w:rsid w:val="00757451"/>
    <w:rsid w:val="00757817"/>
    <w:rsid w:val="00757883"/>
    <w:rsid w:val="00757B73"/>
    <w:rsid w:val="007604C8"/>
    <w:rsid w:val="007604F0"/>
    <w:rsid w:val="0076121A"/>
    <w:rsid w:val="0076148F"/>
    <w:rsid w:val="00761B5E"/>
    <w:rsid w:val="00762353"/>
    <w:rsid w:val="00762AED"/>
    <w:rsid w:val="007632F9"/>
    <w:rsid w:val="00763765"/>
    <w:rsid w:val="007638FB"/>
    <w:rsid w:val="0076395C"/>
    <w:rsid w:val="00763DA7"/>
    <w:rsid w:val="00764028"/>
    <w:rsid w:val="00764587"/>
    <w:rsid w:val="00764A0A"/>
    <w:rsid w:val="00764B75"/>
    <w:rsid w:val="00764ED2"/>
    <w:rsid w:val="0076531A"/>
    <w:rsid w:val="00765D64"/>
    <w:rsid w:val="0076620F"/>
    <w:rsid w:val="00766D5E"/>
    <w:rsid w:val="00766DE2"/>
    <w:rsid w:val="00766DF4"/>
    <w:rsid w:val="00766EC1"/>
    <w:rsid w:val="0076778B"/>
    <w:rsid w:val="00767C9D"/>
    <w:rsid w:val="00767F6A"/>
    <w:rsid w:val="00767F81"/>
    <w:rsid w:val="0077005A"/>
    <w:rsid w:val="007705A6"/>
    <w:rsid w:val="0077107D"/>
    <w:rsid w:val="0077193C"/>
    <w:rsid w:val="00771DB0"/>
    <w:rsid w:val="0077226B"/>
    <w:rsid w:val="007729D3"/>
    <w:rsid w:val="00772A5A"/>
    <w:rsid w:val="007733EC"/>
    <w:rsid w:val="00774FB3"/>
    <w:rsid w:val="0077535B"/>
    <w:rsid w:val="00775717"/>
    <w:rsid w:val="007764B7"/>
    <w:rsid w:val="007766E1"/>
    <w:rsid w:val="007768F5"/>
    <w:rsid w:val="0077698F"/>
    <w:rsid w:val="00776A8A"/>
    <w:rsid w:val="00776E3A"/>
    <w:rsid w:val="0077707C"/>
    <w:rsid w:val="00777B50"/>
    <w:rsid w:val="0078003E"/>
    <w:rsid w:val="0078089D"/>
    <w:rsid w:val="00780B67"/>
    <w:rsid w:val="007812E2"/>
    <w:rsid w:val="007813FB"/>
    <w:rsid w:val="00781BA4"/>
    <w:rsid w:val="00781D70"/>
    <w:rsid w:val="00781DEF"/>
    <w:rsid w:val="00781E82"/>
    <w:rsid w:val="0078206E"/>
    <w:rsid w:val="007823C7"/>
    <w:rsid w:val="00782C9C"/>
    <w:rsid w:val="007831AB"/>
    <w:rsid w:val="0078324D"/>
    <w:rsid w:val="00783424"/>
    <w:rsid w:val="007834AF"/>
    <w:rsid w:val="007834DB"/>
    <w:rsid w:val="0078386F"/>
    <w:rsid w:val="0078404E"/>
    <w:rsid w:val="0078425C"/>
    <w:rsid w:val="007843BC"/>
    <w:rsid w:val="0078449F"/>
    <w:rsid w:val="007846F5"/>
    <w:rsid w:val="00784A5E"/>
    <w:rsid w:val="00784D87"/>
    <w:rsid w:val="0078500D"/>
    <w:rsid w:val="007855B8"/>
    <w:rsid w:val="00785654"/>
    <w:rsid w:val="007857AD"/>
    <w:rsid w:val="00785DFD"/>
    <w:rsid w:val="007869A9"/>
    <w:rsid w:val="00786CAA"/>
    <w:rsid w:val="00787014"/>
    <w:rsid w:val="0078710C"/>
    <w:rsid w:val="007871EF"/>
    <w:rsid w:val="0078735A"/>
    <w:rsid w:val="00787579"/>
    <w:rsid w:val="0078792B"/>
    <w:rsid w:val="00787957"/>
    <w:rsid w:val="00787981"/>
    <w:rsid w:val="00787DDC"/>
    <w:rsid w:val="00787E7F"/>
    <w:rsid w:val="00787F56"/>
    <w:rsid w:val="0079073F"/>
    <w:rsid w:val="0079095C"/>
    <w:rsid w:val="007909C5"/>
    <w:rsid w:val="00791579"/>
    <w:rsid w:val="007919BD"/>
    <w:rsid w:val="00791BC6"/>
    <w:rsid w:val="00791E1A"/>
    <w:rsid w:val="00791E1D"/>
    <w:rsid w:val="00791ED8"/>
    <w:rsid w:val="00791F4E"/>
    <w:rsid w:val="007922D7"/>
    <w:rsid w:val="00792508"/>
    <w:rsid w:val="007926F9"/>
    <w:rsid w:val="00792A35"/>
    <w:rsid w:val="0079345C"/>
    <w:rsid w:val="00793944"/>
    <w:rsid w:val="00793F93"/>
    <w:rsid w:val="00794389"/>
    <w:rsid w:val="00794F90"/>
    <w:rsid w:val="00794F98"/>
    <w:rsid w:val="007950E3"/>
    <w:rsid w:val="00795110"/>
    <w:rsid w:val="00795168"/>
    <w:rsid w:val="007952F2"/>
    <w:rsid w:val="00795C4D"/>
    <w:rsid w:val="00795D55"/>
    <w:rsid w:val="00796157"/>
    <w:rsid w:val="00796342"/>
    <w:rsid w:val="007964B1"/>
    <w:rsid w:val="00796B44"/>
    <w:rsid w:val="007A0040"/>
    <w:rsid w:val="007A00A6"/>
    <w:rsid w:val="007A0B76"/>
    <w:rsid w:val="007A0F2B"/>
    <w:rsid w:val="007A15B3"/>
    <w:rsid w:val="007A1918"/>
    <w:rsid w:val="007A1EB1"/>
    <w:rsid w:val="007A247D"/>
    <w:rsid w:val="007A250C"/>
    <w:rsid w:val="007A2FE5"/>
    <w:rsid w:val="007A315C"/>
    <w:rsid w:val="007A35BF"/>
    <w:rsid w:val="007A3B71"/>
    <w:rsid w:val="007A45C0"/>
    <w:rsid w:val="007A4C5A"/>
    <w:rsid w:val="007A4EE9"/>
    <w:rsid w:val="007A4FA4"/>
    <w:rsid w:val="007A530D"/>
    <w:rsid w:val="007A536B"/>
    <w:rsid w:val="007A590F"/>
    <w:rsid w:val="007A5FE2"/>
    <w:rsid w:val="007A622B"/>
    <w:rsid w:val="007A6312"/>
    <w:rsid w:val="007A63F6"/>
    <w:rsid w:val="007A6506"/>
    <w:rsid w:val="007A652F"/>
    <w:rsid w:val="007A6D8B"/>
    <w:rsid w:val="007A716B"/>
    <w:rsid w:val="007A76DF"/>
    <w:rsid w:val="007A76FE"/>
    <w:rsid w:val="007A7DB4"/>
    <w:rsid w:val="007A7F6B"/>
    <w:rsid w:val="007B01BF"/>
    <w:rsid w:val="007B0330"/>
    <w:rsid w:val="007B046A"/>
    <w:rsid w:val="007B061B"/>
    <w:rsid w:val="007B0A9F"/>
    <w:rsid w:val="007B0CAE"/>
    <w:rsid w:val="007B0EC4"/>
    <w:rsid w:val="007B1858"/>
    <w:rsid w:val="007B18F8"/>
    <w:rsid w:val="007B1AD4"/>
    <w:rsid w:val="007B1DBB"/>
    <w:rsid w:val="007B1DCE"/>
    <w:rsid w:val="007B24CE"/>
    <w:rsid w:val="007B279A"/>
    <w:rsid w:val="007B30D4"/>
    <w:rsid w:val="007B3825"/>
    <w:rsid w:val="007B3C6C"/>
    <w:rsid w:val="007B47CB"/>
    <w:rsid w:val="007B47EA"/>
    <w:rsid w:val="007B4D1B"/>
    <w:rsid w:val="007B4DC9"/>
    <w:rsid w:val="007B539D"/>
    <w:rsid w:val="007B53F6"/>
    <w:rsid w:val="007B55FC"/>
    <w:rsid w:val="007B5810"/>
    <w:rsid w:val="007B585E"/>
    <w:rsid w:val="007B59F0"/>
    <w:rsid w:val="007B59F4"/>
    <w:rsid w:val="007B5A34"/>
    <w:rsid w:val="007B5B09"/>
    <w:rsid w:val="007B6AF9"/>
    <w:rsid w:val="007B6FD7"/>
    <w:rsid w:val="007C02E6"/>
    <w:rsid w:val="007C0334"/>
    <w:rsid w:val="007C07B8"/>
    <w:rsid w:val="007C0851"/>
    <w:rsid w:val="007C12D2"/>
    <w:rsid w:val="007C133F"/>
    <w:rsid w:val="007C1C82"/>
    <w:rsid w:val="007C1F9B"/>
    <w:rsid w:val="007C216F"/>
    <w:rsid w:val="007C2E5C"/>
    <w:rsid w:val="007C31D0"/>
    <w:rsid w:val="007C323E"/>
    <w:rsid w:val="007C3667"/>
    <w:rsid w:val="007C3950"/>
    <w:rsid w:val="007C406C"/>
    <w:rsid w:val="007C4079"/>
    <w:rsid w:val="007C42CB"/>
    <w:rsid w:val="007C450F"/>
    <w:rsid w:val="007C469C"/>
    <w:rsid w:val="007C4758"/>
    <w:rsid w:val="007C4A5C"/>
    <w:rsid w:val="007C4C59"/>
    <w:rsid w:val="007C4FC3"/>
    <w:rsid w:val="007C542A"/>
    <w:rsid w:val="007C54BF"/>
    <w:rsid w:val="007C58B6"/>
    <w:rsid w:val="007C5DE0"/>
    <w:rsid w:val="007C6AC0"/>
    <w:rsid w:val="007C752B"/>
    <w:rsid w:val="007C7AFD"/>
    <w:rsid w:val="007D026B"/>
    <w:rsid w:val="007D05B9"/>
    <w:rsid w:val="007D0D52"/>
    <w:rsid w:val="007D12CD"/>
    <w:rsid w:val="007D13DC"/>
    <w:rsid w:val="007D13EB"/>
    <w:rsid w:val="007D2099"/>
    <w:rsid w:val="007D2177"/>
    <w:rsid w:val="007D230D"/>
    <w:rsid w:val="007D2935"/>
    <w:rsid w:val="007D2B5D"/>
    <w:rsid w:val="007D2F16"/>
    <w:rsid w:val="007D37FF"/>
    <w:rsid w:val="007D42C2"/>
    <w:rsid w:val="007D5A12"/>
    <w:rsid w:val="007D600F"/>
    <w:rsid w:val="007D6550"/>
    <w:rsid w:val="007D6946"/>
    <w:rsid w:val="007D6BC7"/>
    <w:rsid w:val="007D70A1"/>
    <w:rsid w:val="007D76C7"/>
    <w:rsid w:val="007D7AD5"/>
    <w:rsid w:val="007D7CEF"/>
    <w:rsid w:val="007E0504"/>
    <w:rsid w:val="007E0D7A"/>
    <w:rsid w:val="007E1076"/>
    <w:rsid w:val="007E1452"/>
    <w:rsid w:val="007E1AB6"/>
    <w:rsid w:val="007E202A"/>
    <w:rsid w:val="007E20FE"/>
    <w:rsid w:val="007E2FE1"/>
    <w:rsid w:val="007E36D1"/>
    <w:rsid w:val="007E4057"/>
    <w:rsid w:val="007E42B9"/>
    <w:rsid w:val="007E49E4"/>
    <w:rsid w:val="007E4AA1"/>
    <w:rsid w:val="007E516A"/>
    <w:rsid w:val="007E566A"/>
    <w:rsid w:val="007E570A"/>
    <w:rsid w:val="007E679E"/>
    <w:rsid w:val="007E695E"/>
    <w:rsid w:val="007E6AC5"/>
    <w:rsid w:val="007E745F"/>
    <w:rsid w:val="007E78C0"/>
    <w:rsid w:val="007E7B63"/>
    <w:rsid w:val="007F0053"/>
    <w:rsid w:val="007F00B3"/>
    <w:rsid w:val="007F087D"/>
    <w:rsid w:val="007F0A77"/>
    <w:rsid w:val="007F0C6C"/>
    <w:rsid w:val="007F0CA0"/>
    <w:rsid w:val="007F0DD0"/>
    <w:rsid w:val="007F1783"/>
    <w:rsid w:val="007F1D70"/>
    <w:rsid w:val="007F1FD5"/>
    <w:rsid w:val="007F28A0"/>
    <w:rsid w:val="007F2BF1"/>
    <w:rsid w:val="007F32F0"/>
    <w:rsid w:val="007F36A2"/>
    <w:rsid w:val="007F36EA"/>
    <w:rsid w:val="007F37C6"/>
    <w:rsid w:val="007F3B17"/>
    <w:rsid w:val="007F5171"/>
    <w:rsid w:val="007F5192"/>
    <w:rsid w:val="007F5309"/>
    <w:rsid w:val="007F5DEE"/>
    <w:rsid w:val="007F5F4D"/>
    <w:rsid w:val="007F6027"/>
    <w:rsid w:val="007F602B"/>
    <w:rsid w:val="007F6223"/>
    <w:rsid w:val="007F64A1"/>
    <w:rsid w:val="007F6520"/>
    <w:rsid w:val="007F652D"/>
    <w:rsid w:val="007F6675"/>
    <w:rsid w:val="007F6EE5"/>
    <w:rsid w:val="007F7115"/>
    <w:rsid w:val="007F7C86"/>
    <w:rsid w:val="007F7FB6"/>
    <w:rsid w:val="008001B8"/>
    <w:rsid w:val="00800F42"/>
    <w:rsid w:val="00801863"/>
    <w:rsid w:val="00801F8E"/>
    <w:rsid w:val="00801F9C"/>
    <w:rsid w:val="00801FF1"/>
    <w:rsid w:val="0080225F"/>
    <w:rsid w:val="00802715"/>
    <w:rsid w:val="008029B4"/>
    <w:rsid w:val="00802D7C"/>
    <w:rsid w:val="00802F31"/>
    <w:rsid w:val="008030BA"/>
    <w:rsid w:val="008035E6"/>
    <w:rsid w:val="00803F17"/>
    <w:rsid w:val="008041C4"/>
    <w:rsid w:val="0080451B"/>
    <w:rsid w:val="00805233"/>
    <w:rsid w:val="00805420"/>
    <w:rsid w:val="008054D4"/>
    <w:rsid w:val="008057D1"/>
    <w:rsid w:val="008057FE"/>
    <w:rsid w:val="008058C6"/>
    <w:rsid w:val="00805C93"/>
    <w:rsid w:val="00805E33"/>
    <w:rsid w:val="0080644D"/>
    <w:rsid w:val="00806E2D"/>
    <w:rsid w:val="0080734E"/>
    <w:rsid w:val="008077FB"/>
    <w:rsid w:val="0080796A"/>
    <w:rsid w:val="00807B55"/>
    <w:rsid w:val="00807F73"/>
    <w:rsid w:val="008109FA"/>
    <w:rsid w:val="00810B4F"/>
    <w:rsid w:val="00810BA3"/>
    <w:rsid w:val="00810F51"/>
    <w:rsid w:val="00811DAA"/>
    <w:rsid w:val="00811EDE"/>
    <w:rsid w:val="00811FCD"/>
    <w:rsid w:val="0081227B"/>
    <w:rsid w:val="008127DF"/>
    <w:rsid w:val="00813020"/>
    <w:rsid w:val="008142CD"/>
    <w:rsid w:val="00814856"/>
    <w:rsid w:val="00814898"/>
    <w:rsid w:val="00814CC9"/>
    <w:rsid w:val="00814D69"/>
    <w:rsid w:val="00814D86"/>
    <w:rsid w:val="0081522D"/>
    <w:rsid w:val="00815352"/>
    <w:rsid w:val="00816042"/>
    <w:rsid w:val="0081648E"/>
    <w:rsid w:val="008179D2"/>
    <w:rsid w:val="00817A62"/>
    <w:rsid w:val="008204E9"/>
    <w:rsid w:val="00820AFB"/>
    <w:rsid w:val="00820E34"/>
    <w:rsid w:val="00820EBC"/>
    <w:rsid w:val="0082126C"/>
    <w:rsid w:val="0082135C"/>
    <w:rsid w:val="00821740"/>
    <w:rsid w:val="00821B45"/>
    <w:rsid w:val="00821B85"/>
    <w:rsid w:val="008227D9"/>
    <w:rsid w:val="00822AAF"/>
    <w:rsid w:val="00822F52"/>
    <w:rsid w:val="0082317E"/>
    <w:rsid w:val="0082323B"/>
    <w:rsid w:val="008234D7"/>
    <w:rsid w:val="008235E3"/>
    <w:rsid w:val="00823C20"/>
    <w:rsid w:val="00823D26"/>
    <w:rsid w:val="00824315"/>
    <w:rsid w:val="008247C0"/>
    <w:rsid w:val="00824B06"/>
    <w:rsid w:val="00824E51"/>
    <w:rsid w:val="00824F37"/>
    <w:rsid w:val="008253A9"/>
    <w:rsid w:val="008256C8"/>
    <w:rsid w:val="008258FF"/>
    <w:rsid w:val="00826634"/>
    <w:rsid w:val="008267A2"/>
    <w:rsid w:val="00826C89"/>
    <w:rsid w:val="0082704C"/>
    <w:rsid w:val="008273AA"/>
    <w:rsid w:val="00827501"/>
    <w:rsid w:val="008277E0"/>
    <w:rsid w:val="00827EB0"/>
    <w:rsid w:val="008301C6"/>
    <w:rsid w:val="008301DC"/>
    <w:rsid w:val="0083023A"/>
    <w:rsid w:val="008304DA"/>
    <w:rsid w:val="008305AC"/>
    <w:rsid w:val="00830832"/>
    <w:rsid w:val="008309AC"/>
    <w:rsid w:val="00830B81"/>
    <w:rsid w:val="00830D03"/>
    <w:rsid w:val="008317D5"/>
    <w:rsid w:val="008319AF"/>
    <w:rsid w:val="00831F25"/>
    <w:rsid w:val="008323FC"/>
    <w:rsid w:val="008325DC"/>
    <w:rsid w:val="0083280D"/>
    <w:rsid w:val="00832B8F"/>
    <w:rsid w:val="00832F4B"/>
    <w:rsid w:val="0083460C"/>
    <w:rsid w:val="00834E9C"/>
    <w:rsid w:val="0083522A"/>
    <w:rsid w:val="008359D9"/>
    <w:rsid w:val="00835CA4"/>
    <w:rsid w:val="00835F74"/>
    <w:rsid w:val="00835FA9"/>
    <w:rsid w:val="00835FFC"/>
    <w:rsid w:val="008360C6"/>
    <w:rsid w:val="008368DE"/>
    <w:rsid w:val="0083699A"/>
    <w:rsid w:val="00836DCF"/>
    <w:rsid w:val="00836ECA"/>
    <w:rsid w:val="0083703C"/>
    <w:rsid w:val="00837046"/>
    <w:rsid w:val="0083734A"/>
    <w:rsid w:val="008375B2"/>
    <w:rsid w:val="008377A8"/>
    <w:rsid w:val="00837B9B"/>
    <w:rsid w:val="00837E5F"/>
    <w:rsid w:val="00837EAE"/>
    <w:rsid w:val="00840406"/>
    <w:rsid w:val="00840A43"/>
    <w:rsid w:val="008413F5"/>
    <w:rsid w:val="00841446"/>
    <w:rsid w:val="008414CB"/>
    <w:rsid w:val="008415A0"/>
    <w:rsid w:val="008429F6"/>
    <w:rsid w:val="00842E8B"/>
    <w:rsid w:val="008432D6"/>
    <w:rsid w:val="00843857"/>
    <w:rsid w:val="00843910"/>
    <w:rsid w:val="00843920"/>
    <w:rsid w:val="00843A48"/>
    <w:rsid w:val="00844A04"/>
    <w:rsid w:val="00845481"/>
    <w:rsid w:val="0084562B"/>
    <w:rsid w:val="00845676"/>
    <w:rsid w:val="00845856"/>
    <w:rsid w:val="0084585B"/>
    <w:rsid w:val="00845968"/>
    <w:rsid w:val="008469CF"/>
    <w:rsid w:val="00846C4F"/>
    <w:rsid w:val="0084746A"/>
    <w:rsid w:val="008477B2"/>
    <w:rsid w:val="00847945"/>
    <w:rsid w:val="00847C3C"/>
    <w:rsid w:val="00847F47"/>
    <w:rsid w:val="008507A6"/>
    <w:rsid w:val="00850B7A"/>
    <w:rsid w:val="00851EEB"/>
    <w:rsid w:val="00852144"/>
    <w:rsid w:val="00852660"/>
    <w:rsid w:val="008527EF"/>
    <w:rsid w:val="00852836"/>
    <w:rsid w:val="00852897"/>
    <w:rsid w:val="008530DE"/>
    <w:rsid w:val="008534EF"/>
    <w:rsid w:val="00853E22"/>
    <w:rsid w:val="00853EA6"/>
    <w:rsid w:val="00853EF4"/>
    <w:rsid w:val="00854253"/>
    <w:rsid w:val="00854608"/>
    <w:rsid w:val="00854771"/>
    <w:rsid w:val="008547A5"/>
    <w:rsid w:val="008548F9"/>
    <w:rsid w:val="00854E5D"/>
    <w:rsid w:val="0085544E"/>
    <w:rsid w:val="0085574B"/>
    <w:rsid w:val="00856094"/>
    <w:rsid w:val="00856466"/>
    <w:rsid w:val="008564D6"/>
    <w:rsid w:val="00856CD0"/>
    <w:rsid w:val="00856D30"/>
    <w:rsid w:val="00857401"/>
    <w:rsid w:val="0086018A"/>
    <w:rsid w:val="00860562"/>
    <w:rsid w:val="0086092B"/>
    <w:rsid w:val="00860EE4"/>
    <w:rsid w:val="00860F5C"/>
    <w:rsid w:val="008611A9"/>
    <w:rsid w:val="00861251"/>
    <w:rsid w:val="0086131F"/>
    <w:rsid w:val="008614D1"/>
    <w:rsid w:val="00861AD1"/>
    <w:rsid w:val="00861EDA"/>
    <w:rsid w:val="0086271F"/>
    <w:rsid w:val="0086310D"/>
    <w:rsid w:val="008632DE"/>
    <w:rsid w:val="008633E4"/>
    <w:rsid w:val="008634EE"/>
    <w:rsid w:val="00863630"/>
    <w:rsid w:val="00863D03"/>
    <w:rsid w:val="008643C6"/>
    <w:rsid w:val="00864E99"/>
    <w:rsid w:val="008657C7"/>
    <w:rsid w:val="008667C1"/>
    <w:rsid w:val="00866B76"/>
    <w:rsid w:val="00866D7A"/>
    <w:rsid w:val="00866EEA"/>
    <w:rsid w:val="008674C2"/>
    <w:rsid w:val="00867628"/>
    <w:rsid w:val="0086762F"/>
    <w:rsid w:val="008679BA"/>
    <w:rsid w:val="00867D93"/>
    <w:rsid w:val="00867DEC"/>
    <w:rsid w:val="00870222"/>
    <w:rsid w:val="00870460"/>
    <w:rsid w:val="008705C9"/>
    <w:rsid w:val="00870C84"/>
    <w:rsid w:val="00870EB6"/>
    <w:rsid w:val="00872284"/>
    <w:rsid w:val="0087263E"/>
    <w:rsid w:val="0087278D"/>
    <w:rsid w:val="00872B04"/>
    <w:rsid w:val="00872B50"/>
    <w:rsid w:val="0087338A"/>
    <w:rsid w:val="0087372F"/>
    <w:rsid w:val="00874129"/>
    <w:rsid w:val="008742FC"/>
    <w:rsid w:val="008744D3"/>
    <w:rsid w:val="008751D6"/>
    <w:rsid w:val="00875C09"/>
    <w:rsid w:val="00875C12"/>
    <w:rsid w:val="00875F81"/>
    <w:rsid w:val="00876330"/>
    <w:rsid w:val="00877070"/>
    <w:rsid w:val="008773CB"/>
    <w:rsid w:val="00877B92"/>
    <w:rsid w:val="00877C53"/>
    <w:rsid w:val="0088015D"/>
    <w:rsid w:val="008807C1"/>
    <w:rsid w:val="008808FD"/>
    <w:rsid w:val="0088098F"/>
    <w:rsid w:val="00880F66"/>
    <w:rsid w:val="00881472"/>
    <w:rsid w:val="0088163B"/>
    <w:rsid w:val="00881ED9"/>
    <w:rsid w:val="00881F31"/>
    <w:rsid w:val="00882312"/>
    <w:rsid w:val="00882BB1"/>
    <w:rsid w:val="008835ED"/>
    <w:rsid w:val="008835EE"/>
    <w:rsid w:val="008839CD"/>
    <w:rsid w:val="008840F9"/>
    <w:rsid w:val="008844AA"/>
    <w:rsid w:val="00884840"/>
    <w:rsid w:val="00884B8D"/>
    <w:rsid w:val="00884FCA"/>
    <w:rsid w:val="0088520E"/>
    <w:rsid w:val="0088545C"/>
    <w:rsid w:val="00885D45"/>
    <w:rsid w:val="00885DD3"/>
    <w:rsid w:val="00885FE4"/>
    <w:rsid w:val="00886595"/>
    <w:rsid w:val="0088668F"/>
    <w:rsid w:val="008867CC"/>
    <w:rsid w:val="008871C3"/>
    <w:rsid w:val="00887981"/>
    <w:rsid w:val="008900E3"/>
    <w:rsid w:val="00890ECE"/>
    <w:rsid w:val="00891084"/>
    <w:rsid w:val="00891729"/>
    <w:rsid w:val="0089184A"/>
    <w:rsid w:val="00891A07"/>
    <w:rsid w:val="00891BB9"/>
    <w:rsid w:val="00891E06"/>
    <w:rsid w:val="00892078"/>
    <w:rsid w:val="00892584"/>
    <w:rsid w:val="008925DD"/>
    <w:rsid w:val="008927F9"/>
    <w:rsid w:val="00892B8E"/>
    <w:rsid w:val="00892BA6"/>
    <w:rsid w:val="00893615"/>
    <w:rsid w:val="00893642"/>
    <w:rsid w:val="00893873"/>
    <w:rsid w:val="0089396C"/>
    <w:rsid w:val="00893CB8"/>
    <w:rsid w:val="008943FD"/>
    <w:rsid w:val="008944D2"/>
    <w:rsid w:val="00894DA3"/>
    <w:rsid w:val="008952EE"/>
    <w:rsid w:val="008955A4"/>
    <w:rsid w:val="00895917"/>
    <w:rsid w:val="00895BDD"/>
    <w:rsid w:val="00895D37"/>
    <w:rsid w:val="00895E09"/>
    <w:rsid w:val="0089719A"/>
    <w:rsid w:val="00897240"/>
    <w:rsid w:val="00897423"/>
    <w:rsid w:val="0089743F"/>
    <w:rsid w:val="0089747E"/>
    <w:rsid w:val="008975A2"/>
    <w:rsid w:val="008976F5"/>
    <w:rsid w:val="00897C6D"/>
    <w:rsid w:val="008A0688"/>
    <w:rsid w:val="008A0F07"/>
    <w:rsid w:val="008A118A"/>
    <w:rsid w:val="008A12E6"/>
    <w:rsid w:val="008A147D"/>
    <w:rsid w:val="008A1542"/>
    <w:rsid w:val="008A176B"/>
    <w:rsid w:val="008A19AC"/>
    <w:rsid w:val="008A1A73"/>
    <w:rsid w:val="008A1FF7"/>
    <w:rsid w:val="008A241B"/>
    <w:rsid w:val="008A24A9"/>
    <w:rsid w:val="008A26F3"/>
    <w:rsid w:val="008A2B32"/>
    <w:rsid w:val="008A2EBA"/>
    <w:rsid w:val="008A3299"/>
    <w:rsid w:val="008A387D"/>
    <w:rsid w:val="008A38C5"/>
    <w:rsid w:val="008A3BB2"/>
    <w:rsid w:val="008A3C19"/>
    <w:rsid w:val="008A43B0"/>
    <w:rsid w:val="008A463D"/>
    <w:rsid w:val="008A4F47"/>
    <w:rsid w:val="008A5024"/>
    <w:rsid w:val="008A50AE"/>
    <w:rsid w:val="008A51EB"/>
    <w:rsid w:val="008A5C88"/>
    <w:rsid w:val="008A5FFB"/>
    <w:rsid w:val="008A63A5"/>
    <w:rsid w:val="008A63DC"/>
    <w:rsid w:val="008A660A"/>
    <w:rsid w:val="008A672A"/>
    <w:rsid w:val="008A67F1"/>
    <w:rsid w:val="008A70F5"/>
    <w:rsid w:val="008A79EF"/>
    <w:rsid w:val="008A7B0E"/>
    <w:rsid w:val="008A7B55"/>
    <w:rsid w:val="008B056D"/>
    <w:rsid w:val="008B0A92"/>
    <w:rsid w:val="008B11F8"/>
    <w:rsid w:val="008B1606"/>
    <w:rsid w:val="008B1C2A"/>
    <w:rsid w:val="008B21F7"/>
    <w:rsid w:val="008B227E"/>
    <w:rsid w:val="008B23B8"/>
    <w:rsid w:val="008B27C5"/>
    <w:rsid w:val="008B2B27"/>
    <w:rsid w:val="008B2B79"/>
    <w:rsid w:val="008B3226"/>
    <w:rsid w:val="008B3255"/>
    <w:rsid w:val="008B36B3"/>
    <w:rsid w:val="008B3ACB"/>
    <w:rsid w:val="008B3C66"/>
    <w:rsid w:val="008B3CF5"/>
    <w:rsid w:val="008B4297"/>
    <w:rsid w:val="008B51F9"/>
    <w:rsid w:val="008B5A5E"/>
    <w:rsid w:val="008B63DB"/>
    <w:rsid w:val="008B6610"/>
    <w:rsid w:val="008B73FC"/>
    <w:rsid w:val="008B76DB"/>
    <w:rsid w:val="008B7D52"/>
    <w:rsid w:val="008C026C"/>
    <w:rsid w:val="008C0550"/>
    <w:rsid w:val="008C0828"/>
    <w:rsid w:val="008C0D09"/>
    <w:rsid w:val="008C11C0"/>
    <w:rsid w:val="008C17F9"/>
    <w:rsid w:val="008C2037"/>
    <w:rsid w:val="008C2B82"/>
    <w:rsid w:val="008C2FFB"/>
    <w:rsid w:val="008C30F4"/>
    <w:rsid w:val="008C37D8"/>
    <w:rsid w:val="008C3B54"/>
    <w:rsid w:val="008C3C0B"/>
    <w:rsid w:val="008C3CE1"/>
    <w:rsid w:val="008C3E35"/>
    <w:rsid w:val="008C460B"/>
    <w:rsid w:val="008C468F"/>
    <w:rsid w:val="008C4830"/>
    <w:rsid w:val="008C48AD"/>
    <w:rsid w:val="008C4B8F"/>
    <w:rsid w:val="008C4C2C"/>
    <w:rsid w:val="008C4E2D"/>
    <w:rsid w:val="008C5362"/>
    <w:rsid w:val="008C53D7"/>
    <w:rsid w:val="008C54ED"/>
    <w:rsid w:val="008C594B"/>
    <w:rsid w:val="008C656B"/>
    <w:rsid w:val="008C668D"/>
    <w:rsid w:val="008C6AF5"/>
    <w:rsid w:val="008C6E1F"/>
    <w:rsid w:val="008C73E4"/>
    <w:rsid w:val="008C74AA"/>
    <w:rsid w:val="008D0576"/>
    <w:rsid w:val="008D0E62"/>
    <w:rsid w:val="008D1168"/>
    <w:rsid w:val="008D159C"/>
    <w:rsid w:val="008D15A8"/>
    <w:rsid w:val="008D1602"/>
    <w:rsid w:val="008D1785"/>
    <w:rsid w:val="008D1E66"/>
    <w:rsid w:val="008D1EBD"/>
    <w:rsid w:val="008D2276"/>
    <w:rsid w:val="008D22A6"/>
    <w:rsid w:val="008D235C"/>
    <w:rsid w:val="008D263B"/>
    <w:rsid w:val="008D2C4E"/>
    <w:rsid w:val="008D2E64"/>
    <w:rsid w:val="008D2FB9"/>
    <w:rsid w:val="008D3B0D"/>
    <w:rsid w:val="008D4C15"/>
    <w:rsid w:val="008D4C4D"/>
    <w:rsid w:val="008D5116"/>
    <w:rsid w:val="008D51D6"/>
    <w:rsid w:val="008D56F0"/>
    <w:rsid w:val="008D5A42"/>
    <w:rsid w:val="008D5F99"/>
    <w:rsid w:val="008D6AAB"/>
    <w:rsid w:val="008D7EBA"/>
    <w:rsid w:val="008E09F3"/>
    <w:rsid w:val="008E0AA1"/>
    <w:rsid w:val="008E0CD4"/>
    <w:rsid w:val="008E1618"/>
    <w:rsid w:val="008E23CC"/>
    <w:rsid w:val="008E253B"/>
    <w:rsid w:val="008E2568"/>
    <w:rsid w:val="008E2A73"/>
    <w:rsid w:val="008E2F3F"/>
    <w:rsid w:val="008E30E3"/>
    <w:rsid w:val="008E3145"/>
    <w:rsid w:val="008E38E7"/>
    <w:rsid w:val="008E3B06"/>
    <w:rsid w:val="008E3B9A"/>
    <w:rsid w:val="008E3C8E"/>
    <w:rsid w:val="008E3ED2"/>
    <w:rsid w:val="008E42A3"/>
    <w:rsid w:val="008E4A51"/>
    <w:rsid w:val="008E514E"/>
    <w:rsid w:val="008E5886"/>
    <w:rsid w:val="008E59C3"/>
    <w:rsid w:val="008E59F6"/>
    <w:rsid w:val="008E5D2C"/>
    <w:rsid w:val="008E5F46"/>
    <w:rsid w:val="008E5F59"/>
    <w:rsid w:val="008E5F62"/>
    <w:rsid w:val="008E62B4"/>
    <w:rsid w:val="008E6751"/>
    <w:rsid w:val="008E6A35"/>
    <w:rsid w:val="008E6BB9"/>
    <w:rsid w:val="008E6BCB"/>
    <w:rsid w:val="008E6BE7"/>
    <w:rsid w:val="008E6F38"/>
    <w:rsid w:val="008E6FA9"/>
    <w:rsid w:val="008E7D96"/>
    <w:rsid w:val="008F015E"/>
    <w:rsid w:val="008F01EF"/>
    <w:rsid w:val="008F02CA"/>
    <w:rsid w:val="008F02D2"/>
    <w:rsid w:val="008F03CA"/>
    <w:rsid w:val="008F03F1"/>
    <w:rsid w:val="008F0611"/>
    <w:rsid w:val="008F087B"/>
    <w:rsid w:val="008F0B18"/>
    <w:rsid w:val="008F10E3"/>
    <w:rsid w:val="008F11D2"/>
    <w:rsid w:val="008F16CD"/>
    <w:rsid w:val="008F21E2"/>
    <w:rsid w:val="008F2389"/>
    <w:rsid w:val="008F2B03"/>
    <w:rsid w:val="008F2C02"/>
    <w:rsid w:val="008F2D77"/>
    <w:rsid w:val="008F34C7"/>
    <w:rsid w:val="008F36F2"/>
    <w:rsid w:val="008F41E4"/>
    <w:rsid w:val="008F4338"/>
    <w:rsid w:val="008F4680"/>
    <w:rsid w:val="008F4A03"/>
    <w:rsid w:val="008F5521"/>
    <w:rsid w:val="008F5F65"/>
    <w:rsid w:val="008F6022"/>
    <w:rsid w:val="008F66D1"/>
    <w:rsid w:val="008F6798"/>
    <w:rsid w:val="008F67B8"/>
    <w:rsid w:val="008F6931"/>
    <w:rsid w:val="008F6A44"/>
    <w:rsid w:val="008F6B9F"/>
    <w:rsid w:val="008F6BFC"/>
    <w:rsid w:val="008F6E2F"/>
    <w:rsid w:val="008F72E0"/>
    <w:rsid w:val="008F78A9"/>
    <w:rsid w:val="009000F5"/>
    <w:rsid w:val="0090016B"/>
    <w:rsid w:val="00900D42"/>
    <w:rsid w:val="00901601"/>
    <w:rsid w:val="00901DEF"/>
    <w:rsid w:val="009022F3"/>
    <w:rsid w:val="00902370"/>
    <w:rsid w:val="009026FD"/>
    <w:rsid w:val="0090271F"/>
    <w:rsid w:val="00902742"/>
    <w:rsid w:val="00902BA0"/>
    <w:rsid w:val="00902E0E"/>
    <w:rsid w:val="00902FCC"/>
    <w:rsid w:val="009032C5"/>
    <w:rsid w:val="00903930"/>
    <w:rsid w:val="00903B50"/>
    <w:rsid w:val="00903FAC"/>
    <w:rsid w:val="00903FC3"/>
    <w:rsid w:val="0090447A"/>
    <w:rsid w:val="0090469D"/>
    <w:rsid w:val="00904958"/>
    <w:rsid w:val="00904EEB"/>
    <w:rsid w:val="00905070"/>
    <w:rsid w:val="00905339"/>
    <w:rsid w:val="00905377"/>
    <w:rsid w:val="00905696"/>
    <w:rsid w:val="009059CC"/>
    <w:rsid w:val="00905D91"/>
    <w:rsid w:val="00905EB8"/>
    <w:rsid w:val="00905FCE"/>
    <w:rsid w:val="00905FE7"/>
    <w:rsid w:val="00906CC0"/>
    <w:rsid w:val="00907224"/>
    <w:rsid w:val="00907342"/>
    <w:rsid w:val="0090743E"/>
    <w:rsid w:val="009075E3"/>
    <w:rsid w:val="00907C21"/>
    <w:rsid w:val="00910511"/>
    <w:rsid w:val="009105FC"/>
    <w:rsid w:val="0091088E"/>
    <w:rsid w:val="00910D63"/>
    <w:rsid w:val="00910E23"/>
    <w:rsid w:val="00911972"/>
    <w:rsid w:val="009120F0"/>
    <w:rsid w:val="009121DD"/>
    <w:rsid w:val="00912337"/>
    <w:rsid w:val="00912614"/>
    <w:rsid w:val="00912D10"/>
    <w:rsid w:val="00913018"/>
    <w:rsid w:val="00913301"/>
    <w:rsid w:val="009138B2"/>
    <w:rsid w:val="00913F79"/>
    <w:rsid w:val="00914A57"/>
    <w:rsid w:val="00914AE5"/>
    <w:rsid w:val="00915652"/>
    <w:rsid w:val="00916001"/>
    <w:rsid w:val="00916296"/>
    <w:rsid w:val="00916844"/>
    <w:rsid w:val="00916C9B"/>
    <w:rsid w:val="00916CE9"/>
    <w:rsid w:val="009170E7"/>
    <w:rsid w:val="0091732C"/>
    <w:rsid w:val="009178DB"/>
    <w:rsid w:val="00917F0D"/>
    <w:rsid w:val="009200DA"/>
    <w:rsid w:val="0092119B"/>
    <w:rsid w:val="0092158D"/>
    <w:rsid w:val="009215B9"/>
    <w:rsid w:val="00921E1F"/>
    <w:rsid w:val="00922378"/>
    <w:rsid w:val="009225BD"/>
    <w:rsid w:val="0092289A"/>
    <w:rsid w:val="00922D34"/>
    <w:rsid w:val="00922EE0"/>
    <w:rsid w:val="00923B11"/>
    <w:rsid w:val="00923D3A"/>
    <w:rsid w:val="00923F06"/>
    <w:rsid w:val="009247CA"/>
    <w:rsid w:val="00924F06"/>
    <w:rsid w:val="00925557"/>
    <w:rsid w:val="0092559F"/>
    <w:rsid w:val="00925A50"/>
    <w:rsid w:val="00925B53"/>
    <w:rsid w:val="00925BB9"/>
    <w:rsid w:val="00925CE7"/>
    <w:rsid w:val="00925DBA"/>
    <w:rsid w:val="00925E2E"/>
    <w:rsid w:val="00926927"/>
    <w:rsid w:val="00926CC7"/>
    <w:rsid w:val="00926F6D"/>
    <w:rsid w:val="00926F94"/>
    <w:rsid w:val="009273CD"/>
    <w:rsid w:val="009276E8"/>
    <w:rsid w:val="009300D0"/>
    <w:rsid w:val="00930201"/>
    <w:rsid w:val="00930A7F"/>
    <w:rsid w:val="009316C4"/>
    <w:rsid w:val="009316F9"/>
    <w:rsid w:val="0093170D"/>
    <w:rsid w:val="009318BA"/>
    <w:rsid w:val="00931B56"/>
    <w:rsid w:val="00931FD3"/>
    <w:rsid w:val="00932384"/>
    <w:rsid w:val="00932689"/>
    <w:rsid w:val="009328BF"/>
    <w:rsid w:val="00932E90"/>
    <w:rsid w:val="009333F4"/>
    <w:rsid w:val="009335B4"/>
    <w:rsid w:val="009335F3"/>
    <w:rsid w:val="009337E0"/>
    <w:rsid w:val="009339D9"/>
    <w:rsid w:val="00933A94"/>
    <w:rsid w:val="00933B07"/>
    <w:rsid w:val="00933B97"/>
    <w:rsid w:val="00933D56"/>
    <w:rsid w:val="009345AF"/>
    <w:rsid w:val="0093467B"/>
    <w:rsid w:val="0093469F"/>
    <w:rsid w:val="0093478B"/>
    <w:rsid w:val="00934940"/>
    <w:rsid w:val="00934DC3"/>
    <w:rsid w:val="00934F81"/>
    <w:rsid w:val="0093510B"/>
    <w:rsid w:val="00935532"/>
    <w:rsid w:val="00935672"/>
    <w:rsid w:val="009357C2"/>
    <w:rsid w:val="00935B11"/>
    <w:rsid w:val="0093616F"/>
    <w:rsid w:val="00936E45"/>
    <w:rsid w:val="009371E5"/>
    <w:rsid w:val="00937235"/>
    <w:rsid w:val="00937352"/>
    <w:rsid w:val="009376B1"/>
    <w:rsid w:val="00937725"/>
    <w:rsid w:val="00937ABA"/>
    <w:rsid w:val="00937B0C"/>
    <w:rsid w:val="009400D1"/>
    <w:rsid w:val="00940230"/>
    <w:rsid w:val="009407B5"/>
    <w:rsid w:val="00940CBE"/>
    <w:rsid w:val="00940F4E"/>
    <w:rsid w:val="00941B6D"/>
    <w:rsid w:val="00942964"/>
    <w:rsid w:val="00942D78"/>
    <w:rsid w:val="00942EC7"/>
    <w:rsid w:val="009433AD"/>
    <w:rsid w:val="009433B6"/>
    <w:rsid w:val="00943834"/>
    <w:rsid w:val="00943EAB"/>
    <w:rsid w:val="00943ECD"/>
    <w:rsid w:val="009442D7"/>
    <w:rsid w:val="009442E1"/>
    <w:rsid w:val="00945799"/>
    <w:rsid w:val="00945B44"/>
    <w:rsid w:val="00945F12"/>
    <w:rsid w:val="0094608D"/>
    <w:rsid w:val="009462B5"/>
    <w:rsid w:val="009469FE"/>
    <w:rsid w:val="00946AA4"/>
    <w:rsid w:val="009471A4"/>
    <w:rsid w:val="009476B4"/>
    <w:rsid w:val="009476EC"/>
    <w:rsid w:val="00947862"/>
    <w:rsid w:val="009503C0"/>
    <w:rsid w:val="009504C2"/>
    <w:rsid w:val="00950557"/>
    <w:rsid w:val="00950A07"/>
    <w:rsid w:val="00950CA8"/>
    <w:rsid w:val="00950CD6"/>
    <w:rsid w:val="00950E97"/>
    <w:rsid w:val="009511D8"/>
    <w:rsid w:val="00951AA0"/>
    <w:rsid w:val="00952A26"/>
    <w:rsid w:val="00952C06"/>
    <w:rsid w:val="00953563"/>
    <w:rsid w:val="0095358A"/>
    <w:rsid w:val="00953709"/>
    <w:rsid w:val="009537A7"/>
    <w:rsid w:val="00953898"/>
    <w:rsid w:val="00953B4F"/>
    <w:rsid w:val="00953BB6"/>
    <w:rsid w:val="00953BE5"/>
    <w:rsid w:val="0095467B"/>
    <w:rsid w:val="00954726"/>
    <w:rsid w:val="0095505E"/>
    <w:rsid w:val="00955233"/>
    <w:rsid w:val="009554C3"/>
    <w:rsid w:val="00955CC3"/>
    <w:rsid w:val="009560B5"/>
    <w:rsid w:val="00956B20"/>
    <w:rsid w:val="00956EB9"/>
    <w:rsid w:val="00957218"/>
    <w:rsid w:val="0095731C"/>
    <w:rsid w:val="00957591"/>
    <w:rsid w:val="009578F1"/>
    <w:rsid w:val="00957ECE"/>
    <w:rsid w:val="0096023A"/>
    <w:rsid w:val="00960889"/>
    <w:rsid w:val="00960A38"/>
    <w:rsid w:val="00960C3B"/>
    <w:rsid w:val="00960D6C"/>
    <w:rsid w:val="00961263"/>
    <w:rsid w:val="00961287"/>
    <w:rsid w:val="00961693"/>
    <w:rsid w:val="009618E1"/>
    <w:rsid w:val="00961F5D"/>
    <w:rsid w:val="0096225E"/>
    <w:rsid w:val="00962E50"/>
    <w:rsid w:val="00963524"/>
    <w:rsid w:val="009644EF"/>
    <w:rsid w:val="00964682"/>
    <w:rsid w:val="00965107"/>
    <w:rsid w:val="009655BC"/>
    <w:rsid w:val="00965628"/>
    <w:rsid w:val="00965C5B"/>
    <w:rsid w:val="00965F52"/>
    <w:rsid w:val="00965F7C"/>
    <w:rsid w:val="00966093"/>
    <w:rsid w:val="00966316"/>
    <w:rsid w:val="00966351"/>
    <w:rsid w:val="009663BF"/>
    <w:rsid w:val="009669EF"/>
    <w:rsid w:val="009674DF"/>
    <w:rsid w:val="009707E6"/>
    <w:rsid w:val="00970869"/>
    <w:rsid w:val="00970BB5"/>
    <w:rsid w:val="00970D9C"/>
    <w:rsid w:val="009711BA"/>
    <w:rsid w:val="00971FD0"/>
    <w:rsid w:val="009728FA"/>
    <w:rsid w:val="00972C10"/>
    <w:rsid w:val="00972FF3"/>
    <w:rsid w:val="0097362D"/>
    <w:rsid w:val="00973AD1"/>
    <w:rsid w:val="009740EC"/>
    <w:rsid w:val="0097508D"/>
    <w:rsid w:val="0097657C"/>
    <w:rsid w:val="009766B2"/>
    <w:rsid w:val="00977007"/>
    <w:rsid w:val="00977318"/>
    <w:rsid w:val="00977895"/>
    <w:rsid w:val="00977AB5"/>
    <w:rsid w:val="00977D2E"/>
    <w:rsid w:val="00977DBA"/>
    <w:rsid w:val="00977ECA"/>
    <w:rsid w:val="0098011C"/>
    <w:rsid w:val="0098054F"/>
    <w:rsid w:val="00980961"/>
    <w:rsid w:val="00980CEF"/>
    <w:rsid w:val="00980D9B"/>
    <w:rsid w:val="00980E23"/>
    <w:rsid w:val="009811A0"/>
    <w:rsid w:val="009815A0"/>
    <w:rsid w:val="00981789"/>
    <w:rsid w:val="009824EF"/>
    <w:rsid w:val="00982A2B"/>
    <w:rsid w:val="00982BEE"/>
    <w:rsid w:val="009831A7"/>
    <w:rsid w:val="0098321A"/>
    <w:rsid w:val="009833B5"/>
    <w:rsid w:val="0098349E"/>
    <w:rsid w:val="00983791"/>
    <w:rsid w:val="00983E07"/>
    <w:rsid w:val="009844C3"/>
    <w:rsid w:val="009846C7"/>
    <w:rsid w:val="00984AA1"/>
    <w:rsid w:val="00984B2C"/>
    <w:rsid w:val="00984F86"/>
    <w:rsid w:val="009852C0"/>
    <w:rsid w:val="00985A58"/>
    <w:rsid w:val="00985A95"/>
    <w:rsid w:val="00985C16"/>
    <w:rsid w:val="00986568"/>
    <w:rsid w:val="00986A1C"/>
    <w:rsid w:val="00986FA4"/>
    <w:rsid w:val="009871B3"/>
    <w:rsid w:val="0098733D"/>
    <w:rsid w:val="0098738A"/>
    <w:rsid w:val="00987429"/>
    <w:rsid w:val="00987430"/>
    <w:rsid w:val="0098793E"/>
    <w:rsid w:val="00987955"/>
    <w:rsid w:val="00987A4E"/>
    <w:rsid w:val="00991583"/>
    <w:rsid w:val="00991C65"/>
    <w:rsid w:val="0099213C"/>
    <w:rsid w:val="0099289A"/>
    <w:rsid w:val="00992917"/>
    <w:rsid w:val="00992A9B"/>
    <w:rsid w:val="00992FDC"/>
    <w:rsid w:val="00993766"/>
    <w:rsid w:val="009942A1"/>
    <w:rsid w:val="009942C3"/>
    <w:rsid w:val="00994517"/>
    <w:rsid w:val="00994BA1"/>
    <w:rsid w:val="00994BE6"/>
    <w:rsid w:val="0099571E"/>
    <w:rsid w:val="009959FD"/>
    <w:rsid w:val="00995E73"/>
    <w:rsid w:val="009963AD"/>
    <w:rsid w:val="00996BE2"/>
    <w:rsid w:val="00996C9C"/>
    <w:rsid w:val="00996DBF"/>
    <w:rsid w:val="009973C1"/>
    <w:rsid w:val="00997767"/>
    <w:rsid w:val="00997D79"/>
    <w:rsid w:val="00997F06"/>
    <w:rsid w:val="009A0412"/>
    <w:rsid w:val="009A0472"/>
    <w:rsid w:val="009A0E49"/>
    <w:rsid w:val="009A0E62"/>
    <w:rsid w:val="009A1C11"/>
    <w:rsid w:val="009A1C95"/>
    <w:rsid w:val="009A27CD"/>
    <w:rsid w:val="009A2DDF"/>
    <w:rsid w:val="009A2EE5"/>
    <w:rsid w:val="009A401C"/>
    <w:rsid w:val="009A4295"/>
    <w:rsid w:val="009A4956"/>
    <w:rsid w:val="009A51F3"/>
    <w:rsid w:val="009A53C4"/>
    <w:rsid w:val="009A54B9"/>
    <w:rsid w:val="009A5E37"/>
    <w:rsid w:val="009A5ED8"/>
    <w:rsid w:val="009A60DF"/>
    <w:rsid w:val="009A62FA"/>
    <w:rsid w:val="009A6682"/>
    <w:rsid w:val="009A6BD1"/>
    <w:rsid w:val="009A72DB"/>
    <w:rsid w:val="009A7312"/>
    <w:rsid w:val="009A7334"/>
    <w:rsid w:val="009A7360"/>
    <w:rsid w:val="009A7A57"/>
    <w:rsid w:val="009A7AC9"/>
    <w:rsid w:val="009B0291"/>
    <w:rsid w:val="009B06A2"/>
    <w:rsid w:val="009B082C"/>
    <w:rsid w:val="009B0A4E"/>
    <w:rsid w:val="009B0DC5"/>
    <w:rsid w:val="009B1C46"/>
    <w:rsid w:val="009B1EB5"/>
    <w:rsid w:val="009B1FA2"/>
    <w:rsid w:val="009B2149"/>
    <w:rsid w:val="009B242F"/>
    <w:rsid w:val="009B26F7"/>
    <w:rsid w:val="009B2886"/>
    <w:rsid w:val="009B2E7D"/>
    <w:rsid w:val="009B301C"/>
    <w:rsid w:val="009B39E8"/>
    <w:rsid w:val="009B3DD4"/>
    <w:rsid w:val="009B3E46"/>
    <w:rsid w:val="009B46E8"/>
    <w:rsid w:val="009B4922"/>
    <w:rsid w:val="009B4EAD"/>
    <w:rsid w:val="009B5135"/>
    <w:rsid w:val="009B56B9"/>
    <w:rsid w:val="009B5768"/>
    <w:rsid w:val="009B5878"/>
    <w:rsid w:val="009B5D62"/>
    <w:rsid w:val="009B5DA3"/>
    <w:rsid w:val="009B6564"/>
    <w:rsid w:val="009B6F3E"/>
    <w:rsid w:val="009B6FD3"/>
    <w:rsid w:val="009B7A5C"/>
    <w:rsid w:val="009C0114"/>
    <w:rsid w:val="009C034E"/>
    <w:rsid w:val="009C0407"/>
    <w:rsid w:val="009C041C"/>
    <w:rsid w:val="009C06C0"/>
    <w:rsid w:val="009C07AA"/>
    <w:rsid w:val="009C17A1"/>
    <w:rsid w:val="009C1AA9"/>
    <w:rsid w:val="009C2059"/>
    <w:rsid w:val="009C32D5"/>
    <w:rsid w:val="009C3502"/>
    <w:rsid w:val="009C3833"/>
    <w:rsid w:val="009C447F"/>
    <w:rsid w:val="009C465B"/>
    <w:rsid w:val="009C4768"/>
    <w:rsid w:val="009C482F"/>
    <w:rsid w:val="009C4842"/>
    <w:rsid w:val="009C5C0E"/>
    <w:rsid w:val="009C5C53"/>
    <w:rsid w:val="009C65C5"/>
    <w:rsid w:val="009C687F"/>
    <w:rsid w:val="009C6F3F"/>
    <w:rsid w:val="009C7010"/>
    <w:rsid w:val="009C7570"/>
    <w:rsid w:val="009C7DC9"/>
    <w:rsid w:val="009C7F09"/>
    <w:rsid w:val="009D03DB"/>
    <w:rsid w:val="009D1288"/>
    <w:rsid w:val="009D1438"/>
    <w:rsid w:val="009D18D4"/>
    <w:rsid w:val="009D1AFA"/>
    <w:rsid w:val="009D1B73"/>
    <w:rsid w:val="009D1F5A"/>
    <w:rsid w:val="009D3422"/>
    <w:rsid w:val="009D351A"/>
    <w:rsid w:val="009D4A9C"/>
    <w:rsid w:val="009D53E6"/>
    <w:rsid w:val="009D556A"/>
    <w:rsid w:val="009D59E1"/>
    <w:rsid w:val="009D5C50"/>
    <w:rsid w:val="009D6426"/>
    <w:rsid w:val="009D6C2A"/>
    <w:rsid w:val="009D6C91"/>
    <w:rsid w:val="009D7174"/>
    <w:rsid w:val="009D7949"/>
    <w:rsid w:val="009D7C59"/>
    <w:rsid w:val="009E07F3"/>
    <w:rsid w:val="009E1144"/>
    <w:rsid w:val="009E137B"/>
    <w:rsid w:val="009E180C"/>
    <w:rsid w:val="009E1C05"/>
    <w:rsid w:val="009E2062"/>
    <w:rsid w:val="009E262D"/>
    <w:rsid w:val="009E264C"/>
    <w:rsid w:val="009E2794"/>
    <w:rsid w:val="009E2989"/>
    <w:rsid w:val="009E2B83"/>
    <w:rsid w:val="009E2BDC"/>
    <w:rsid w:val="009E30AB"/>
    <w:rsid w:val="009E30C1"/>
    <w:rsid w:val="009E31AC"/>
    <w:rsid w:val="009E325E"/>
    <w:rsid w:val="009E3629"/>
    <w:rsid w:val="009E3F5B"/>
    <w:rsid w:val="009E5513"/>
    <w:rsid w:val="009E5666"/>
    <w:rsid w:val="009E5EE4"/>
    <w:rsid w:val="009E5F0B"/>
    <w:rsid w:val="009E62AF"/>
    <w:rsid w:val="009E63A3"/>
    <w:rsid w:val="009E6E0A"/>
    <w:rsid w:val="009E7556"/>
    <w:rsid w:val="009E7646"/>
    <w:rsid w:val="009E7807"/>
    <w:rsid w:val="009E7AAF"/>
    <w:rsid w:val="009E7F2A"/>
    <w:rsid w:val="009F02F7"/>
    <w:rsid w:val="009F08E3"/>
    <w:rsid w:val="009F0AF4"/>
    <w:rsid w:val="009F0BA7"/>
    <w:rsid w:val="009F0C62"/>
    <w:rsid w:val="009F10E2"/>
    <w:rsid w:val="009F1371"/>
    <w:rsid w:val="009F1D32"/>
    <w:rsid w:val="009F1FF4"/>
    <w:rsid w:val="009F268D"/>
    <w:rsid w:val="009F2E1C"/>
    <w:rsid w:val="009F2F15"/>
    <w:rsid w:val="009F3458"/>
    <w:rsid w:val="009F3565"/>
    <w:rsid w:val="009F3C4B"/>
    <w:rsid w:val="009F3D80"/>
    <w:rsid w:val="009F3FF2"/>
    <w:rsid w:val="009F40D5"/>
    <w:rsid w:val="009F42D5"/>
    <w:rsid w:val="009F48A9"/>
    <w:rsid w:val="009F4CFB"/>
    <w:rsid w:val="009F4D21"/>
    <w:rsid w:val="009F62D3"/>
    <w:rsid w:val="009F63EB"/>
    <w:rsid w:val="009F6AC2"/>
    <w:rsid w:val="009F7202"/>
    <w:rsid w:val="009F739B"/>
    <w:rsid w:val="009F75ED"/>
    <w:rsid w:val="009F7D25"/>
    <w:rsid w:val="009F7EE8"/>
    <w:rsid w:val="009F7F49"/>
    <w:rsid w:val="00A004A2"/>
    <w:rsid w:val="00A00C15"/>
    <w:rsid w:val="00A01369"/>
    <w:rsid w:val="00A01377"/>
    <w:rsid w:val="00A01387"/>
    <w:rsid w:val="00A0197D"/>
    <w:rsid w:val="00A01F4C"/>
    <w:rsid w:val="00A022EB"/>
    <w:rsid w:val="00A025F4"/>
    <w:rsid w:val="00A026EF"/>
    <w:rsid w:val="00A027E6"/>
    <w:rsid w:val="00A02A7F"/>
    <w:rsid w:val="00A02C5F"/>
    <w:rsid w:val="00A0368D"/>
    <w:rsid w:val="00A03F26"/>
    <w:rsid w:val="00A03F4D"/>
    <w:rsid w:val="00A04263"/>
    <w:rsid w:val="00A043A9"/>
    <w:rsid w:val="00A04627"/>
    <w:rsid w:val="00A04B0C"/>
    <w:rsid w:val="00A04E69"/>
    <w:rsid w:val="00A04F00"/>
    <w:rsid w:val="00A05309"/>
    <w:rsid w:val="00A05B02"/>
    <w:rsid w:val="00A05C01"/>
    <w:rsid w:val="00A05EBA"/>
    <w:rsid w:val="00A06110"/>
    <w:rsid w:val="00A0645E"/>
    <w:rsid w:val="00A0646A"/>
    <w:rsid w:val="00A06548"/>
    <w:rsid w:val="00A06642"/>
    <w:rsid w:val="00A066BE"/>
    <w:rsid w:val="00A06AE8"/>
    <w:rsid w:val="00A06B37"/>
    <w:rsid w:val="00A06EBB"/>
    <w:rsid w:val="00A07229"/>
    <w:rsid w:val="00A07C7D"/>
    <w:rsid w:val="00A100A8"/>
    <w:rsid w:val="00A1077F"/>
    <w:rsid w:val="00A109A1"/>
    <w:rsid w:val="00A10BC0"/>
    <w:rsid w:val="00A10F0A"/>
    <w:rsid w:val="00A11426"/>
    <w:rsid w:val="00A117A6"/>
    <w:rsid w:val="00A11A3C"/>
    <w:rsid w:val="00A11B75"/>
    <w:rsid w:val="00A12049"/>
    <w:rsid w:val="00A12A8C"/>
    <w:rsid w:val="00A12C48"/>
    <w:rsid w:val="00A12CCF"/>
    <w:rsid w:val="00A1375C"/>
    <w:rsid w:val="00A139DA"/>
    <w:rsid w:val="00A13BAC"/>
    <w:rsid w:val="00A13CB0"/>
    <w:rsid w:val="00A1415C"/>
    <w:rsid w:val="00A14238"/>
    <w:rsid w:val="00A1429F"/>
    <w:rsid w:val="00A142BE"/>
    <w:rsid w:val="00A16124"/>
    <w:rsid w:val="00A166E0"/>
    <w:rsid w:val="00A16E0F"/>
    <w:rsid w:val="00A1766E"/>
    <w:rsid w:val="00A1794E"/>
    <w:rsid w:val="00A17E37"/>
    <w:rsid w:val="00A2091B"/>
    <w:rsid w:val="00A21002"/>
    <w:rsid w:val="00A21ADE"/>
    <w:rsid w:val="00A21D02"/>
    <w:rsid w:val="00A21D3C"/>
    <w:rsid w:val="00A21DDF"/>
    <w:rsid w:val="00A21E70"/>
    <w:rsid w:val="00A21EA8"/>
    <w:rsid w:val="00A228C6"/>
    <w:rsid w:val="00A22B13"/>
    <w:rsid w:val="00A22F39"/>
    <w:rsid w:val="00A22F78"/>
    <w:rsid w:val="00A22F9F"/>
    <w:rsid w:val="00A23488"/>
    <w:rsid w:val="00A23528"/>
    <w:rsid w:val="00A242CB"/>
    <w:rsid w:val="00A2443C"/>
    <w:rsid w:val="00A244A8"/>
    <w:rsid w:val="00A24518"/>
    <w:rsid w:val="00A24588"/>
    <w:rsid w:val="00A24AE9"/>
    <w:rsid w:val="00A24E8D"/>
    <w:rsid w:val="00A25A59"/>
    <w:rsid w:val="00A25BF8"/>
    <w:rsid w:val="00A27297"/>
    <w:rsid w:val="00A2739A"/>
    <w:rsid w:val="00A27410"/>
    <w:rsid w:val="00A274FB"/>
    <w:rsid w:val="00A27AF6"/>
    <w:rsid w:val="00A30336"/>
    <w:rsid w:val="00A305A6"/>
    <w:rsid w:val="00A305AE"/>
    <w:rsid w:val="00A30870"/>
    <w:rsid w:val="00A308B3"/>
    <w:rsid w:val="00A30BDD"/>
    <w:rsid w:val="00A30D08"/>
    <w:rsid w:val="00A30E02"/>
    <w:rsid w:val="00A311B3"/>
    <w:rsid w:val="00A31323"/>
    <w:rsid w:val="00A31A10"/>
    <w:rsid w:val="00A31AB2"/>
    <w:rsid w:val="00A31FFF"/>
    <w:rsid w:val="00A32246"/>
    <w:rsid w:val="00A322C7"/>
    <w:rsid w:val="00A326B3"/>
    <w:rsid w:val="00A32917"/>
    <w:rsid w:val="00A32D09"/>
    <w:rsid w:val="00A3315D"/>
    <w:rsid w:val="00A333F6"/>
    <w:rsid w:val="00A33756"/>
    <w:rsid w:val="00A33FE9"/>
    <w:rsid w:val="00A34555"/>
    <w:rsid w:val="00A34718"/>
    <w:rsid w:val="00A3474C"/>
    <w:rsid w:val="00A347B5"/>
    <w:rsid w:val="00A349FB"/>
    <w:rsid w:val="00A34A45"/>
    <w:rsid w:val="00A3527F"/>
    <w:rsid w:val="00A35B16"/>
    <w:rsid w:val="00A35B53"/>
    <w:rsid w:val="00A35CF6"/>
    <w:rsid w:val="00A35F7A"/>
    <w:rsid w:val="00A3605A"/>
    <w:rsid w:val="00A3625B"/>
    <w:rsid w:val="00A362EF"/>
    <w:rsid w:val="00A368B8"/>
    <w:rsid w:val="00A36A5D"/>
    <w:rsid w:val="00A36E49"/>
    <w:rsid w:val="00A36EC6"/>
    <w:rsid w:val="00A36EFB"/>
    <w:rsid w:val="00A37777"/>
    <w:rsid w:val="00A3778D"/>
    <w:rsid w:val="00A37DF2"/>
    <w:rsid w:val="00A40251"/>
    <w:rsid w:val="00A406EA"/>
    <w:rsid w:val="00A4080E"/>
    <w:rsid w:val="00A40B0A"/>
    <w:rsid w:val="00A40C1E"/>
    <w:rsid w:val="00A40D52"/>
    <w:rsid w:val="00A4157F"/>
    <w:rsid w:val="00A41ECF"/>
    <w:rsid w:val="00A426F8"/>
    <w:rsid w:val="00A42749"/>
    <w:rsid w:val="00A427AE"/>
    <w:rsid w:val="00A42F3D"/>
    <w:rsid w:val="00A42FC0"/>
    <w:rsid w:val="00A4309F"/>
    <w:rsid w:val="00A431F6"/>
    <w:rsid w:val="00A43896"/>
    <w:rsid w:val="00A43AF6"/>
    <w:rsid w:val="00A440A8"/>
    <w:rsid w:val="00A4415F"/>
    <w:rsid w:val="00A44949"/>
    <w:rsid w:val="00A45283"/>
    <w:rsid w:val="00A455DD"/>
    <w:rsid w:val="00A4590F"/>
    <w:rsid w:val="00A4592D"/>
    <w:rsid w:val="00A46327"/>
    <w:rsid w:val="00A468BC"/>
    <w:rsid w:val="00A4690E"/>
    <w:rsid w:val="00A46AC0"/>
    <w:rsid w:val="00A4737D"/>
    <w:rsid w:val="00A4738B"/>
    <w:rsid w:val="00A474CB"/>
    <w:rsid w:val="00A475B3"/>
    <w:rsid w:val="00A475C2"/>
    <w:rsid w:val="00A50184"/>
    <w:rsid w:val="00A50B93"/>
    <w:rsid w:val="00A50C81"/>
    <w:rsid w:val="00A50DB6"/>
    <w:rsid w:val="00A51034"/>
    <w:rsid w:val="00A51277"/>
    <w:rsid w:val="00A517E8"/>
    <w:rsid w:val="00A51D9C"/>
    <w:rsid w:val="00A51F5E"/>
    <w:rsid w:val="00A52324"/>
    <w:rsid w:val="00A52863"/>
    <w:rsid w:val="00A52E55"/>
    <w:rsid w:val="00A53264"/>
    <w:rsid w:val="00A53873"/>
    <w:rsid w:val="00A53C72"/>
    <w:rsid w:val="00A53FEE"/>
    <w:rsid w:val="00A5415A"/>
    <w:rsid w:val="00A544FA"/>
    <w:rsid w:val="00A54F76"/>
    <w:rsid w:val="00A55107"/>
    <w:rsid w:val="00A55202"/>
    <w:rsid w:val="00A556B3"/>
    <w:rsid w:val="00A55E28"/>
    <w:rsid w:val="00A55E8B"/>
    <w:rsid w:val="00A55F14"/>
    <w:rsid w:val="00A5611C"/>
    <w:rsid w:val="00A567A6"/>
    <w:rsid w:val="00A56831"/>
    <w:rsid w:val="00A57031"/>
    <w:rsid w:val="00A575AB"/>
    <w:rsid w:val="00A57667"/>
    <w:rsid w:val="00A576F4"/>
    <w:rsid w:val="00A60293"/>
    <w:rsid w:val="00A607DD"/>
    <w:rsid w:val="00A60ABA"/>
    <w:rsid w:val="00A6170D"/>
    <w:rsid w:val="00A61A08"/>
    <w:rsid w:val="00A61F0C"/>
    <w:rsid w:val="00A62AFC"/>
    <w:rsid w:val="00A62C2C"/>
    <w:rsid w:val="00A62FFF"/>
    <w:rsid w:val="00A63769"/>
    <w:rsid w:val="00A63B89"/>
    <w:rsid w:val="00A63C25"/>
    <w:rsid w:val="00A63F3A"/>
    <w:rsid w:val="00A643AA"/>
    <w:rsid w:val="00A6496E"/>
    <w:rsid w:val="00A651A4"/>
    <w:rsid w:val="00A653FB"/>
    <w:rsid w:val="00A65BD2"/>
    <w:rsid w:val="00A65C66"/>
    <w:rsid w:val="00A666A0"/>
    <w:rsid w:val="00A6671F"/>
    <w:rsid w:val="00A671E3"/>
    <w:rsid w:val="00A6729F"/>
    <w:rsid w:val="00A67690"/>
    <w:rsid w:val="00A679FF"/>
    <w:rsid w:val="00A67FE9"/>
    <w:rsid w:val="00A70184"/>
    <w:rsid w:val="00A70E71"/>
    <w:rsid w:val="00A71542"/>
    <w:rsid w:val="00A722D3"/>
    <w:rsid w:val="00A7235C"/>
    <w:rsid w:val="00A72AEA"/>
    <w:rsid w:val="00A73C03"/>
    <w:rsid w:val="00A73FA9"/>
    <w:rsid w:val="00A7417F"/>
    <w:rsid w:val="00A74213"/>
    <w:rsid w:val="00A745F3"/>
    <w:rsid w:val="00A74699"/>
    <w:rsid w:val="00A7469E"/>
    <w:rsid w:val="00A74BA9"/>
    <w:rsid w:val="00A75A8F"/>
    <w:rsid w:val="00A75B7B"/>
    <w:rsid w:val="00A75E30"/>
    <w:rsid w:val="00A7602A"/>
    <w:rsid w:val="00A761AB"/>
    <w:rsid w:val="00A76317"/>
    <w:rsid w:val="00A768B4"/>
    <w:rsid w:val="00A769BC"/>
    <w:rsid w:val="00A76A9F"/>
    <w:rsid w:val="00A76DDB"/>
    <w:rsid w:val="00A77505"/>
    <w:rsid w:val="00A77810"/>
    <w:rsid w:val="00A77ACA"/>
    <w:rsid w:val="00A77B7A"/>
    <w:rsid w:val="00A8014F"/>
    <w:rsid w:val="00A8018A"/>
    <w:rsid w:val="00A808A2"/>
    <w:rsid w:val="00A80C22"/>
    <w:rsid w:val="00A80DDF"/>
    <w:rsid w:val="00A80EF6"/>
    <w:rsid w:val="00A80F13"/>
    <w:rsid w:val="00A81177"/>
    <w:rsid w:val="00A813F8"/>
    <w:rsid w:val="00A819D7"/>
    <w:rsid w:val="00A82325"/>
    <w:rsid w:val="00A82A5B"/>
    <w:rsid w:val="00A83081"/>
    <w:rsid w:val="00A834C2"/>
    <w:rsid w:val="00A83B50"/>
    <w:rsid w:val="00A83C71"/>
    <w:rsid w:val="00A83E63"/>
    <w:rsid w:val="00A83E78"/>
    <w:rsid w:val="00A8466F"/>
    <w:rsid w:val="00A846D8"/>
    <w:rsid w:val="00A84A27"/>
    <w:rsid w:val="00A85004"/>
    <w:rsid w:val="00A8519A"/>
    <w:rsid w:val="00A8520C"/>
    <w:rsid w:val="00A861C3"/>
    <w:rsid w:val="00A870A3"/>
    <w:rsid w:val="00A8724E"/>
    <w:rsid w:val="00A8779C"/>
    <w:rsid w:val="00A87FA8"/>
    <w:rsid w:val="00A900C7"/>
    <w:rsid w:val="00A90F6B"/>
    <w:rsid w:val="00A911E0"/>
    <w:rsid w:val="00A91BCC"/>
    <w:rsid w:val="00A91E59"/>
    <w:rsid w:val="00A91EED"/>
    <w:rsid w:val="00A9212A"/>
    <w:rsid w:val="00A92274"/>
    <w:rsid w:val="00A923B1"/>
    <w:rsid w:val="00A92411"/>
    <w:rsid w:val="00A9245C"/>
    <w:rsid w:val="00A92C1D"/>
    <w:rsid w:val="00A92D62"/>
    <w:rsid w:val="00A9310B"/>
    <w:rsid w:val="00A9339E"/>
    <w:rsid w:val="00A93466"/>
    <w:rsid w:val="00A94338"/>
    <w:rsid w:val="00A9451D"/>
    <w:rsid w:val="00A94535"/>
    <w:rsid w:val="00A94DD4"/>
    <w:rsid w:val="00A94EB5"/>
    <w:rsid w:val="00A95639"/>
    <w:rsid w:val="00A956A8"/>
    <w:rsid w:val="00A957E8"/>
    <w:rsid w:val="00A95A2B"/>
    <w:rsid w:val="00A962F9"/>
    <w:rsid w:val="00A96792"/>
    <w:rsid w:val="00A967EE"/>
    <w:rsid w:val="00A96906"/>
    <w:rsid w:val="00A96B48"/>
    <w:rsid w:val="00A96C9E"/>
    <w:rsid w:val="00A96E53"/>
    <w:rsid w:val="00A9709C"/>
    <w:rsid w:val="00A97593"/>
    <w:rsid w:val="00A97B70"/>
    <w:rsid w:val="00A97D99"/>
    <w:rsid w:val="00AA0062"/>
    <w:rsid w:val="00AA042A"/>
    <w:rsid w:val="00AA046A"/>
    <w:rsid w:val="00AA133E"/>
    <w:rsid w:val="00AA1353"/>
    <w:rsid w:val="00AA188A"/>
    <w:rsid w:val="00AA2446"/>
    <w:rsid w:val="00AA2A26"/>
    <w:rsid w:val="00AA2C32"/>
    <w:rsid w:val="00AA3199"/>
    <w:rsid w:val="00AA3413"/>
    <w:rsid w:val="00AA3649"/>
    <w:rsid w:val="00AA36E9"/>
    <w:rsid w:val="00AA3F58"/>
    <w:rsid w:val="00AA538E"/>
    <w:rsid w:val="00AA5527"/>
    <w:rsid w:val="00AA57BE"/>
    <w:rsid w:val="00AA5968"/>
    <w:rsid w:val="00AA5BAB"/>
    <w:rsid w:val="00AA5E3E"/>
    <w:rsid w:val="00AA64B1"/>
    <w:rsid w:val="00AA6574"/>
    <w:rsid w:val="00AA6744"/>
    <w:rsid w:val="00AA6988"/>
    <w:rsid w:val="00AA6AF1"/>
    <w:rsid w:val="00AA6B0B"/>
    <w:rsid w:val="00AA6EF6"/>
    <w:rsid w:val="00AA7526"/>
    <w:rsid w:val="00AA7F3F"/>
    <w:rsid w:val="00AB0225"/>
    <w:rsid w:val="00AB03D2"/>
    <w:rsid w:val="00AB0506"/>
    <w:rsid w:val="00AB0BD7"/>
    <w:rsid w:val="00AB0C48"/>
    <w:rsid w:val="00AB0E9D"/>
    <w:rsid w:val="00AB2438"/>
    <w:rsid w:val="00AB2B41"/>
    <w:rsid w:val="00AB3068"/>
    <w:rsid w:val="00AB3AC1"/>
    <w:rsid w:val="00AB3B65"/>
    <w:rsid w:val="00AB45C1"/>
    <w:rsid w:val="00AB48B7"/>
    <w:rsid w:val="00AB4D85"/>
    <w:rsid w:val="00AB51D0"/>
    <w:rsid w:val="00AB57BE"/>
    <w:rsid w:val="00AB5D5F"/>
    <w:rsid w:val="00AB5DB9"/>
    <w:rsid w:val="00AB5F39"/>
    <w:rsid w:val="00AB5FBB"/>
    <w:rsid w:val="00AB6768"/>
    <w:rsid w:val="00AB6F09"/>
    <w:rsid w:val="00AB75BA"/>
    <w:rsid w:val="00AB7A38"/>
    <w:rsid w:val="00AB7BA9"/>
    <w:rsid w:val="00AC0949"/>
    <w:rsid w:val="00AC0999"/>
    <w:rsid w:val="00AC0E09"/>
    <w:rsid w:val="00AC15BB"/>
    <w:rsid w:val="00AC1643"/>
    <w:rsid w:val="00AC1786"/>
    <w:rsid w:val="00AC1AFE"/>
    <w:rsid w:val="00AC1D94"/>
    <w:rsid w:val="00AC1DE6"/>
    <w:rsid w:val="00AC241C"/>
    <w:rsid w:val="00AC2667"/>
    <w:rsid w:val="00AC2BD2"/>
    <w:rsid w:val="00AC2E54"/>
    <w:rsid w:val="00AC2E7F"/>
    <w:rsid w:val="00AC3365"/>
    <w:rsid w:val="00AC33C6"/>
    <w:rsid w:val="00AC3B85"/>
    <w:rsid w:val="00AC3E99"/>
    <w:rsid w:val="00AC44A6"/>
    <w:rsid w:val="00AC47EF"/>
    <w:rsid w:val="00AC501D"/>
    <w:rsid w:val="00AC50B1"/>
    <w:rsid w:val="00AC52DE"/>
    <w:rsid w:val="00AC55BD"/>
    <w:rsid w:val="00AC55C0"/>
    <w:rsid w:val="00AC579C"/>
    <w:rsid w:val="00AC5D46"/>
    <w:rsid w:val="00AC5EF9"/>
    <w:rsid w:val="00AC635A"/>
    <w:rsid w:val="00AC7782"/>
    <w:rsid w:val="00AC77C5"/>
    <w:rsid w:val="00AC7E30"/>
    <w:rsid w:val="00AD0F9E"/>
    <w:rsid w:val="00AD13D7"/>
    <w:rsid w:val="00AD1B88"/>
    <w:rsid w:val="00AD1CC7"/>
    <w:rsid w:val="00AD232F"/>
    <w:rsid w:val="00AD2556"/>
    <w:rsid w:val="00AD29F4"/>
    <w:rsid w:val="00AD2A79"/>
    <w:rsid w:val="00AD2E51"/>
    <w:rsid w:val="00AD3113"/>
    <w:rsid w:val="00AD3209"/>
    <w:rsid w:val="00AD3536"/>
    <w:rsid w:val="00AD3DD4"/>
    <w:rsid w:val="00AD4081"/>
    <w:rsid w:val="00AD428B"/>
    <w:rsid w:val="00AD43FD"/>
    <w:rsid w:val="00AD4643"/>
    <w:rsid w:val="00AD4A67"/>
    <w:rsid w:val="00AD652E"/>
    <w:rsid w:val="00AD68B5"/>
    <w:rsid w:val="00AD71D8"/>
    <w:rsid w:val="00AD73C4"/>
    <w:rsid w:val="00AD7DAA"/>
    <w:rsid w:val="00AE0644"/>
    <w:rsid w:val="00AE073B"/>
    <w:rsid w:val="00AE0AFF"/>
    <w:rsid w:val="00AE0E2A"/>
    <w:rsid w:val="00AE0F89"/>
    <w:rsid w:val="00AE13BF"/>
    <w:rsid w:val="00AE140A"/>
    <w:rsid w:val="00AE15D5"/>
    <w:rsid w:val="00AE16BB"/>
    <w:rsid w:val="00AE2011"/>
    <w:rsid w:val="00AE2766"/>
    <w:rsid w:val="00AE2DB3"/>
    <w:rsid w:val="00AE3144"/>
    <w:rsid w:val="00AE3262"/>
    <w:rsid w:val="00AE3405"/>
    <w:rsid w:val="00AE373B"/>
    <w:rsid w:val="00AE3845"/>
    <w:rsid w:val="00AE42B8"/>
    <w:rsid w:val="00AE4432"/>
    <w:rsid w:val="00AE4537"/>
    <w:rsid w:val="00AE483E"/>
    <w:rsid w:val="00AE4960"/>
    <w:rsid w:val="00AE4CAD"/>
    <w:rsid w:val="00AE4E7E"/>
    <w:rsid w:val="00AE5003"/>
    <w:rsid w:val="00AE5ADE"/>
    <w:rsid w:val="00AE5F59"/>
    <w:rsid w:val="00AE63B7"/>
    <w:rsid w:val="00AE6594"/>
    <w:rsid w:val="00AE65DB"/>
    <w:rsid w:val="00AE6A7F"/>
    <w:rsid w:val="00AE78E7"/>
    <w:rsid w:val="00AE7964"/>
    <w:rsid w:val="00AE7A22"/>
    <w:rsid w:val="00AE7BDD"/>
    <w:rsid w:val="00AF008B"/>
    <w:rsid w:val="00AF03FD"/>
    <w:rsid w:val="00AF0450"/>
    <w:rsid w:val="00AF0A36"/>
    <w:rsid w:val="00AF0FEB"/>
    <w:rsid w:val="00AF2302"/>
    <w:rsid w:val="00AF26E6"/>
    <w:rsid w:val="00AF27A2"/>
    <w:rsid w:val="00AF3068"/>
    <w:rsid w:val="00AF3592"/>
    <w:rsid w:val="00AF3C04"/>
    <w:rsid w:val="00AF3C61"/>
    <w:rsid w:val="00AF3E66"/>
    <w:rsid w:val="00AF41CF"/>
    <w:rsid w:val="00AF42C1"/>
    <w:rsid w:val="00AF4B08"/>
    <w:rsid w:val="00AF549D"/>
    <w:rsid w:val="00AF56F3"/>
    <w:rsid w:val="00AF5DD3"/>
    <w:rsid w:val="00AF6043"/>
    <w:rsid w:val="00AF6111"/>
    <w:rsid w:val="00AF64D8"/>
    <w:rsid w:val="00AF6A31"/>
    <w:rsid w:val="00AF6A84"/>
    <w:rsid w:val="00AF6AFA"/>
    <w:rsid w:val="00AF6DE2"/>
    <w:rsid w:val="00AF74B3"/>
    <w:rsid w:val="00AF7C81"/>
    <w:rsid w:val="00B007D8"/>
    <w:rsid w:val="00B00949"/>
    <w:rsid w:val="00B00E06"/>
    <w:rsid w:val="00B0162E"/>
    <w:rsid w:val="00B016AD"/>
    <w:rsid w:val="00B01881"/>
    <w:rsid w:val="00B01911"/>
    <w:rsid w:val="00B0191D"/>
    <w:rsid w:val="00B0194B"/>
    <w:rsid w:val="00B01A98"/>
    <w:rsid w:val="00B01D89"/>
    <w:rsid w:val="00B01EBD"/>
    <w:rsid w:val="00B01EC5"/>
    <w:rsid w:val="00B02069"/>
    <w:rsid w:val="00B027C0"/>
    <w:rsid w:val="00B02D61"/>
    <w:rsid w:val="00B0303C"/>
    <w:rsid w:val="00B032C8"/>
    <w:rsid w:val="00B033CD"/>
    <w:rsid w:val="00B03CBB"/>
    <w:rsid w:val="00B04137"/>
    <w:rsid w:val="00B046B0"/>
    <w:rsid w:val="00B04BB2"/>
    <w:rsid w:val="00B05557"/>
    <w:rsid w:val="00B055C5"/>
    <w:rsid w:val="00B0574E"/>
    <w:rsid w:val="00B05A4B"/>
    <w:rsid w:val="00B05CB1"/>
    <w:rsid w:val="00B061D4"/>
    <w:rsid w:val="00B062E2"/>
    <w:rsid w:val="00B07194"/>
    <w:rsid w:val="00B07D41"/>
    <w:rsid w:val="00B10F77"/>
    <w:rsid w:val="00B11494"/>
    <w:rsid w:val="00B11999"/>
    <w:rsid w:val="00B11B1C"/>
    <w:rsid w:val="00B11D6F"/>
    <w:rsid w:val="00B12C5C"/>
    <w:rsid w:val="00B12D24"/>
    <w:rsid w:val="00B12D3B"/>
    <w:rsid w:val="00B12EE2"/>
    <w:rsid w:val="00B1309C"/>
    <w:rsid w:val="00B135CC"/>
    <w:rsid w:val="00B13950"/>
    <w:rsid w:val="00B13A37"/>
    <w:rsid w:val="00B13C17"/>
    <w:rsid w:val="00B14038"/>
    <w:rsid w:val="00B14F56"/>
    <w:rsid w:val="00B154E7"/>
    <w:rsid w:val="00B157FD"/>
    <w:rsid w:val="00B159F2"/>
    <w:rsid w:val="00B15A21"/>
    <w:rsid w:val="00B1665A"/>
    <w:rsid w:val="00B16709"/>
    <w:rsid w:val="00B16C2E"/>
    <w:rsid w:val="00B16C96"/>
    <w:rsid w:val="00B20023"/>
    <w:rsid w:val="00B2013D"/>
    <w:rsid w:val="00B20285"/>
    <w:rsid w:val="00B202C3"/>
    <w:rsid w:val="00B20A96"/>
    <w:rsid w:val="00B20BF8"/>
    <w:rsid w:val="00B2105C"/>
    <w:rsid w:val="00B216A3"/>
    <w:rsid w:val="00B218C7"/>
    <w:rsid w:val="00B21E6A"/>
    <w:rsid w:val="00B21F54"/>
    <w:rsid w:val="00B2209A"/>
    <w:rsid w:val="00B22654"/>
    <w:rsid w:val="00B22D09"/>
    <w:rsid w:val="00B23301"/>
    <w:rsid w:val="00B23508"/>
    <w:rsid w:val="00B2416A"/>
    <w:rsid w:val="00B2420A"/>
    <w:rsid w:val="00B24FFD"/>
    <w:rsid w:val="00B2502D"/>
    <w:rsid w:val="00B25089"/>
    <w:rsid w:val="00B256C5"/>
    <w:rsid w:val="00B259A6"/>
    <w:rsid w:val="00B26C37"/>
    <w:rsid w:val="00B275F5"/>
    <w:rsid w:val="00B27660"/>
    <w:rsid w:val="00B27913"/>
    <w:rsid w:val="00B30341"/>
    <w:rsid w:val="00B30771"/>
    <w:rsid w:val="00B312B8"/>
    <w:rsid w:val="00B31504"/>
    <w:rsid w:val="00B32434"/>
    <w:rsid w:val="00B32564"/>
    <w:rsid w:val="00B3355B"/>
    <w:rsid w:val="00B3393C"/>
    <w:rsid w:val="00B339FE"/>
    <w:rsid w:val="00B34375"/>
    <w:rsid w:val="00B345BD"/>
    <w:rsid w:val="00B3469F"/>
    <w:rsid w:val="00B34DD6"/>
    <w:rsid w:val="00B35004"/>
    <w:rsid w:val="00B35103"/>
    <w:rsid w:val="00B35C65"/>
    <w:rsid w:val="00B360BC"/>
    <w:rsid w:val="00B36338"/>
    <w:rsid w:val="00B370DC"/>
    <w:rsid w:val="00B375F5"/>
    <w:rsid w:val="00B400C0"/>
    <w:rsid w:val="00B401EC"/>
    <w:rsid w:val="00B40802"/>
    <w:rsid w:val="00B40C5A"/>
    <w:rsid w:val="00B411A7"/>
    <w:rsid w:val="00B4123D"/>
    <w:rsid w:val="00B423AC"/>
    <w:rsid w:val="00B4243E"/>
    <w:rsid w:val="00B424B1"/>
    <w:rsid w:val="00B42CBF"/>
    <w:rsid w:val="00B42F52"/>
    <w:rsid w:val="00B43089"/>
    <w:rsid w:val="00B43EE1"/>
    <w:rsid w:val="00B44598"/>
    <w:rsid w:val="00B44C80"/>
    <w:rsid w:val="00B44CFD"/>
    <w:rsid w:val="00B44D9B"/>
    <w:rsid w:val="00B44DD2"/>
    <w:rsid w:val="00B45002"/>
    <w:rsid w:val="00B453C1"/>
    <w:rsid w:val="00B45619"/>
    <w:rsid w:val="00B459C4"/>
    <w:rsid w:val="00B45ED9"/>
    <w:rsid w:val="00B46578"/>
    <w:rsid w:val="00B46DFE"/>
    <w:rsid w:val="00B4740D"/>
    <w:rsid w:val="00B478B9"/>
    <w:rsid w:val="00B47C7A"/>
    <w:rsid w:val="00B47D10"/>
    <w:rsid w:val="00B500AA"/>
    <w:rsid w:val="00B50837"/>
    <w:rsid w:val="00B5154A"/>
    <w:rsid w:val="00B51971"/>
    <w:rsid w:val="00B51B89"/>
    <w:rsid w:val="00B51CF5"/>
    <w:rsid w:val="00B520B2"/>
    <w:rsid w:val="00B52657"/>
    <w:rsid w:val="00B5394B"/>
    <w:rsid w:val="00B53AA7"/>
    <w:rsid w:val="00B53D64"/>
    <w:rsid w:val="00B53E25"/>
    <w:rsid w:val="00B542CC"/>
    <w:rsid w:val="00B55D9F"/>
    <w:rsid w:val="00B55F28"/>
    <w:rsid w:val="00B56504"/>
    <w:rsid w:val="00B5656B"/>
    <w:rsid w:val="00B5659F"/>
    <w:rsid w:val="00B568C7"/>
    <w:rsid w:val="00B56917"/>
    <w:rsid w:val="00B569B4"/>
    <w:rsid w:val="00B57A13"/>
    <w:rsid w:val="00B57FFD"/>
    <w:rsid w:val="00B60395"/>
    <w:rsid w:val="00B6093B"/>
    <w:rsid w:val="00B60FEC"/>
    <w:rsid w:val="00B6127F"/>
    <w:rsid w:val="00B61C00"/>
    <w:rsid w:val="00B62371"/>
    <w:rsid w:val="00B627F6"/>
    <w:rsid w:val="00B62978"/>
    <w:rsid w:val="00B62D64"/>
    <w:rsid w:val="00B62F61"/>
    <w:rsid w:val="00B63A17"/>
    <w:rsid w:val="00B64247"/>
    <w:rsid w:val="00B647A5"/>
    <w:rsid w:val="00B64805"/>
    <w:rsid w:val="00B64B13"/>
    <w:rsid w:val="00B64DC5"/>
    <w:rsid w:val="00B64E1E"/>
    <w:rsid w:val="00B64F96"/>
    <w:rsid w:val="00B65147"/>
    <w:rsid w:val="00B65300"/>
    <w:rsid w:val="00B65B25"/>
    <w:rsid w:val="00B66250"/>
    <w:rsid w:val="00B668D2"/>
    <w:rsid w:val="00B66AE1"/>
    <w:rsid w:val="00B67078"/>
    <w:rsid w:val="00B670C5"/>
    <w:rsid w:val="00B700C2"/>
    <w:rsid w:val="00B7014B"/>
    <w:rsid w:val="00B719D6"/>
    <w:rsid w:val="00B71DD0"/>
    <w:rsid w:val="00B71DE7"/>
    <w:rsid w:val="00B72248"/>
    <w:rsid w:val="00B7275A"/>
    <w:rsid w:val="00B72791"/>
    <w:rsid w:val="00B727BF"/>
    <w:rsid w:val="00B73279"/>
    <w:rsid w:val="00B73906"/>
    <w:rsid w:val="00B739CA"/>
    <w:rsid w:val="00B73A9E"/>
    <w:rsid w:val="00B73FC2"/>
    <w:rsid w:val="00B74D1A"/>
    <w:rsid w:val="00B75B82"/>
    <w:rsid w:val="00B760A0"/>
    <w:rsid w:val="00B7618E"/>
    <w:rsid w:val="00B76705"/>
    <w:rsid w:val="00B76EE6"/>
    <w:rsid w:val="00B77619"/>
    <w:rsid w:val="00B77F6C"/>
    <w:rsid w:val="00B80256"/>
    <w:rsid w:val="00B8036E"/>
    <w:rsid w:val="00B808EB"/>
    <w:rsid w:val="00B80BD3"/>
    <w:rsid w:val="00B814CD"/>
    <w:rsid w:val="00B81649"/>
    <w:rsid w:val="00B81747"/>
    <w:rsid w:val="00B81769"/>
    <w:rsid w:val="00B81968"/>
    <w:rsid w:val="00B820D1"/>
    <w:rsid w:val="00B8233D"/>
    <w:rsid w:val="00B82C18"/>
    <w:rsid w:val="00B832BB"/>
    <w:rsid w:val="00B835FC"/>
    <w:rsid w:val="00B8454B"/>
    <w:rsid w:val="00B8607C"/>
    <w:rsid w:val="00B86203"/>
    <w:rsid w:val="00B862A6"/>
    <w:rsid w:val="00B86632"/>
    <w:rsid w:val="00B8676E"/>
    <w:rsid w:val="00B86777"/>
    <w:rsid w:val="00B8697D"/>
    <w:rsid w:val="00B87128"/>
    <w:rsid w:val="00B87822"/>
    <w:rsid w:val="00B87A18"/>
    <w:rsid w:val="00B900A6"/>
    <w:rsid w:val="00B9071D"/>
    <w:rsid w:val="00B90F50"/>
    <w:rsid w:val="00B91BDA"/>
    <w:rsid w:val="00B91CB1"/>
    <w:rsid w:val="00B91DF3"/>
    <w:rsid w:val="00B91E97"/>
    <w:rsid w:val="00B91FE2"/>
    <w:rsid w:val="00B920B4"/>
    <w:rsid w:val="00B92C09"/>
    <w:rsid w:val="00B92EBF"/>
    <w:rsid w:val="00B932A3"/>
    <w:rsid w:val="00B93702"/>
    <w:rsid w:val="00B9386F"/>
    <w:rsid w:val="00B939B7"/>
    <w:rsid w:val="00B93BEC"/>
    <w:rsid w:val="00B9408C"/>
    <w:rsid w:val="00B941E8"/>
    <w:rsid w:val="00B942F7"/>
    <w:rsid w:val="00B953DE"/>
    <w:rsid w:val="00B954F1"/>
    <w:rsid w:val="00B959B2"/>
    <w:rsid w:val="00B959D0"/>
    <w:rsid w:val="00B959E9"/>
    <w:rsid w:val="00B95B28"/>
    <w:rsid w:val="00B95E56"/>
    <w:rsid w:val="00B95ECD"/>
    <w:rsid w:val="00B961CC"/>
    <w:rsid w:val="00B967F4"/>
    <w:rsid w:val="00B96955"/>
    <w:rsid w:val="00B96D33"/>
    <w:rsid w:val="00B97427"/>
    <w:rsid w:val="00B97594"/>
    <w:rsid w:val="00B976EB"/>
    <w:rsid w:val="00B97B0F"/>
    <w:rsid w:val="00B97B25"/>
    <w:rsid w:val="00B97C33"/>
    <w:rsid w:val="00BA034D"/>
    <w:rsid w:val="00BA0738"/>
    <w:rsid w:val="00BA0F54"/>
    <w:rsid w:val="00BA0FC2"/>
    <w:rsid w:val="00BA1AAD"/>
    <w:rsid w:val="00BA21CF"/>
    <w:rsid w:val="00BA2696"/>
    <w:rsid w:val="00BA2D73"/>
    <w:rsid w:val="00BA35A8"/>
    <w:rsid w:val="00BA39DC"/>
    <w:rsid w:val="00BA3A69"/>
    <w:rsid w:val="00BA4182"/>
    <w:rsid w:val="00BA4338"/>
    <w:rsid w:val="00BA458B"/>
    <w:rsid w:val="00BA4968"/>
    <w:rsid w:val="00BA4A96"/>
    <w:rsid w:val="00BA4EE8"/>
    <w:rsid w:val="00BA534A"/>
    <w:rsid w:val="00BA5560"/>
    <w:rsid w:val="00BA5629"/>
    <w:rsid w:val="00BA5A83"/>
    <w:rsid w:val="00BA67A4"/>
    <w:rsid w:val="00BA6FCF"/>
    <w:rsid w:val="00BA72C8"/>
    <w:rsid w:val="00BA773B"/>
    <w:rsid w:val="00BB054C"/>
    <w:rsid w:val="00BB057B"/>
    <w:rsid w:val="00BB0783"/>
    <w:rsid w:val="00BB07BC"/>
    <w:rsid w:val="00BB07C5"/>
    <w:rsid w:val="00BB141B"/>
    <w:rsid w:val="00BB1519"/>
    <w:rsid w:val="00BB16F3"/>
    <w:rsid w:val="00BB1A1D"/>
    <w:rsid w:val="00BB1AA8"/>
    <w:rsid w:val="00BB1C0F"/>
    <w:rsid w:val="00BB1F02"/>
    <w:rsid w:val="00BB2403"/>
    <w:rsid w:val="00BB2581"/>
    <w:rsid w:val="00BB2B96"/>
    <w:rsid w:val="00BB2C9C"/>
    <w:rsid w:val="00BB3173"/>
    <w:rsid w:val="00BB327C"/>
    <w:rsid w:val="00BB363C"/>
    <w:rsid w:val="00BB36E6"/>
    <w:rsid w:val="00BB3ECD"/>
    <w:rsid w:val="00BB4334"/>
    <w:rsid w:val="00BB484B"/>
    <w:rsid w:val="00BB48E2"/>
    <w:rsid w:val="00BB4C96"/>
    <w:rsid w:val="00BB4CF0"/>
    <w:rsid w:val="00BB56C7"/>
    <w:rsid w:val="00BB5888"/>
    <w:rsid w:val="00BB58AE"/>
    <w:rsid w:val="00BB5FD0"/>
    <w:rsid w:val="00BB6AC9"/>
    <w:rsid w:val="00BB6D91"/>
    <w:rsid w:val="00BB710B"/>
    <w:rsid w:val="00BB7456"/>
    <w:rsid w:val="00BB7497"/>
    <w:rsid w:val="00BB7B6C"/>
    <w:rsid w:val="00BC04A2"/>
    <w:rsid w:val="00BC057E"/>
    <w:rsid w:val="00BC0649"/>
    <w:rsid w:val="00BC065E"/>
    <w:rsid w:val="00BC1394"/>
    <w:rsid w:val="00BC14EC"/>
    <w:rsid w:val="00BC1C55"/>
    <w:rsid w:val="00BC1FAA"/>
    <w:rsid w:val="00BC202B"/>
    <w:rsid w:val="00BC215A"/>
    <w:rsid w:val="00BC2934"/>
    <w:rsid w:val="00BC2D06"/>
    <w:rsid w:val="00BC32E3"/>
    <w:rsid w:val="00BC383A"/>
    <w:rsid w:val="00BC3B6A"/>
    <w:rsid w:val="00BC3EE0"/>
    <w:rsid w:val="00BC42CE"/>
    <w:rsid w:val="00BC472C"/>
    <w:rsid w:val="00BC48EE"/>
    <w:rsid w:val="00BC4914"/>
    <w:rsid w:val="00BC4E2E"/>
    <w:rsid w:val="00BC4F37"/>
    <w:rsid w:val="00BC4F8C"/>
    <w:rsid w:val="00BC527C"/>
    <w:rsid w:val="00BC53B2"/>
    <w:rsid w:val="00BC5486"/>
    <w:rsid w:val="00BC558E"/>
    <w:rsid w:val="00BC5B69"/>
    <w:rsid w:val="00BC651F"/>
    <w:rsid w:val="00BC6BAB"/>
    <w:rsid w:val="00BC6D35"/>
    <w:rsid w:val="00BC7095"/>
    <w:rsid w:val="00BC7604"/>
    <w:rsid w:val="00BC7B88"/>
    <w:rsid w:val="00BD0357"/>
    <w:rsid w:val="00BD121A"/>
    <w:rsid w:val="00BD18E2"/>
    <w:rsid w:val="00BD1AF9"/>
    <w:rsid w:val="00BD1E15"/>
    <w:rsid w:val="00BD26AA"/>
    <w:rsid w:val="00BD3186"/>
    <w:rsid w:val="00BD31EC"/>
    <w:rsid w:val="00BD33CC"/>
    <w:rsid w:val="00BD37AB"/>
    <w:rsid w:val="00BD3CF0"/>
    <w:rsid w:val="00BD43AF"/>
    <w:rsid w:val="00BD4783"/>
    <w:rsid w:val="00BD4C53"/>
    <w:rsid w:val="00BD4E66"/>
    <w:rsid w:val="00BD5121"/>
    <w:rsid w:val="00BD544F"/>
    <w:rsid w:val="00BD58C4"/>
    <w:rsid w:val="00BD5EE7"/>
    <w:rsid w:val="00BD6F2C"/>
    <w:rsid w:val="00BD6F6D"/>
    <w:rsid w:val="00BD72BD"/>
    <w:rsid w:val="00BD72F3"/>
    <w:rsid w:val="00BD7578"/>
    <w:rsid w:val="00BD75E5"/>
    <w:rsid w:val="00BD767F"/>
    <w:rsid w:val="00BD79A9"/>
    <w:rsid w:val="00BD7A99"/>
    <w:rsid w:val="00BD7C5B"/>
    <w:rsid w:val="00BE00E4"/>
    <w:rsid w:val="00BE015C"/>
    <w:rsid w:val="00BE01FB"/>
    <w:rsid w:val="00BE027E"/>
    <w:rsid w:val="00BE02B4"/>
    <w:rsid w:val="00BE0DDC"/>
    <w:rsid w:val="00BE1F3D"/>
    <w:rsid w:val="00BE210C"/>
    <w:rsid w:val="00BE2116"/>
    <w:rsid w:val="00BE2337"/>
    <w:rsid w:val="00BE259B"/>
    <w:rsid w:val="00BE25B2"/>
    <w:rsid w:val="00BE2628"/>
    <w:rsid w:val="00BE2723"/>
    <w:rsid w:val="00BE27B5"/>
    <w:rsid w:val="00BE2AE8"/>
    <w:rsid w:val="00BE3BD4"/>
    <w:rsid w:val="00BE44BE"/>
    <w:rsid w:val="00BE4B7D"/>
    <w:rsid w:val="00BE4CBF"/>
    <w:rsid w:val="00BE5EC5"/>
    <w:rsid w:val="00BE60DB"/>
    <w:rsid w:val="00BE650A"/>
    <w:rsid w:val="00BE667D"/>
    <w:rsid w:val="00BE700C"/>
    <w:rsid w:val="00BE7034"/>
    <w:rsid w:val="00BE7694"/>
    <w:rsid w:val="00BE7942"/>
    <w:rsid w:val="00BE7AE8"/>
    <w:rsid w:val="00BE7E57"/>
    <w:rsid w:val="00BF02A9"/>
    <w:rsid w:val="00BF0CAE"/>
    <w:rsid w:val="00BF0CCA"/>
    <w:rsid w:val="00BF0FE9"/>
    <w:rsid w:val="00BF1540"/>
    <w:rsid w:val="00BF1A0B"/>
    <w:rsid w:val="00BF1C36"/>
    <w:rsid w:val="00BF236B"/>
    <w:rsid w:val="00BF28CE"/>
    <w:rsid w:val="00BF2C5F"/>
    <w:rsid w:val="00BF2EE8"/>
    <w:rsid w:val="00BF31AE"/>
    <w:rsid w:val="00BF31B0"/>
    <w:rsid w:val="00BF3462"/>
    <w:rsid w:val="00BF3690"/>
    <w:rsid w:val="00BF3886"/>
    <w:rsid w:val="00BF3A24"/>
    <w:rsid w:val="00BF3AF6"/>
    <w:rsid w:val="00BF3CC7"/>
    <w:rsid w:val="00BF44DD"/>
    <w:rsid w:val="00BF44F1"/>
    <w:rsid w:val="00BF4877"/>
    <w:rsid w:val="00BF5078"/>
    <w:rsid w:val="00BF5565"/>
    <w:rsid w:val="00BF57CA"/>
    <w:rsid w:val="00BF5B2D"/>
    <w:rsid w:val="00BF657A"/>
    <w:rsid w:val="00BF686C"/>
    <w:rsid w:val="00BF6948"/>
    <w:rsid w:val="00BF6E0F"/>
    <w:rsid w:val="00BF6F9B"/>
    <w:rsid w:val="00BF7219"/>
    <w:rsid w:val="00BF7538"/>
    <w:rsid w:val="00BF7FF4"/>
    <w:rsid w:val="00C00806"/>
    <w:rsid w:val="00C0082B"/>
    <w:rsid w:val="00C00B08"/>
    <w:rsid w:val="00C00C2F"/>
    <w:rsid w:val="00C01C42"/>
    <w:rsid w:val="00C026AF"/>
    <w:rsid w:val="00C02796"/>
    <w:rsid w:val="00C028DD"/>
    <w:rsid w:val="00C02E76"/>
    <w:rsid w:val="00C033D4"/>
    <w:rsid w:val="00C03694"/>
    <w:rsid w:val="00C03BA5"/>
    <w:rsid w:val="00C03D0A"/>
    <w:rsid w:val="00C04045"/>
    <w:rsid w:val="00C040F8"/>
    <w:rsid w:val="00C042E9"/>
    <w:rsid w:val="00C045FD"/>
    <w:rsid w:val="00C04732"/>
    <w:rsid w:val="00C04A35"/>
    <w:rsid w:val="00C055EA"/>
    <w:rsid w:val="00C0581E"/>
    <w:rsid w:val="00C06B89"/>
    <w:rsid w:val="00C06F02"/>
    <w:rsid w:val="00C07826"/>
    <w:rsid w:val="00C078EB"/>
    <w:rsid w:val="00C07B53"/>
    <w:rsid w:val="00C10188"/>
    <w:rsid w:val="00C10BDB"/>
    <w:rsid w:val="00C10FE0"/>
    <w:rsid w:val="00C11281"/>
    <w:rsid w:val="00C11521"/>
    <w:rsid w:val="00C11B6F"/>
    <w:rsid w:val="00C11F61"/>
    <w:rsid w:val="00C12536"/>
    <w:rsid w:val="00C125BD"/>
    <w:rsid w:val="00C1353F"/>
    <w:rsid w:val="00C137CD"/>
    <w:rsid w:val="00C13FC5"/>
    <w:rsid w:val="00C14218"/>
    <w:rsid w:val="00C1524C"/>
    <w:rsid w:val="00C156E7"/>
    <w:rsid w:val="00C1588F"/>
    <w:rsid w:val="00C1651D"/>
    <w:rsid w:val="00C16B84"/>
    <w:rsid w:val="00C16C6D"/>
    <w:rsid w:val="00C17A33"/>
    <w:rsid w:val="00C17D01"/>
    <w:rsid w:val="00C17FED"/>
    <w:rsid w:val="00C204CC"/>
    <w:rsid w:val="00C20874"/>
    <w:rsid w:val="00C209CD"/>
    <w:rsid w:val="00C20D50"/>
    <w:rsid w:val="00C210A6"/>
    <w:rsid w:val="00C2120A"/>
    <w:rsid w:val="00C21246"/>
    <w:rsid w:val="00C2175A"/>
    <w:rsid w:val="00C2184C"/>
    <w:rsid w:val="00C21FBD"/>
    <w:rsid w:val="00C22084"/>
    <w:rsid w:val="00C223DB"/>
    <w:rsid w:val="00C228F6"/>
    <w:rsid w:val="00C22B3C"/>
    <w:rsid w:val="00C22BD8"/>
    <w:rsid w:val="00C22CE3"/>
    <w:rsid w:val="00C22E4F"/>
    <w:rsid w:val="00C23155"/>
    <w:rsid w:val="00C234C1"/>
    <w:rsid w:val="00C23593"/>
    <w:rsid w:val="00C23B61"/>
    <w:rsid w:val="00C24848"/>
    <w:rsid w:val="00C248E5"/>
    <w:rsid w:val="00C25252"/>
    <w:rsid w:val="00C25493"/>
    <w:rsid w:val="00C261BD"/>
    <w:rsid w:val="00C2658D"/>
    <w:rsid w:val="00C26753"/>
    <w:rsid w:val="00C27F7C"/>
    <w:rsid w:val="00C3006B"/>
    <w:rsid w:val="00C3043B"/>
    <w:rsid w:val="00C3080A"/>
    <w:rsid w:val="00C30BBB"/>
    <w:rsid w:val="00C31190"/>
    <w:rsid w:val="00C31513"/>
    <w:rsid w:val="00C3151D"/>
    <w:rsid w:val="00C31540"/>
    <w:rsid w:val="00C31D36"/>
    <w:rsid w:val="00C320FF"/>
    <w:rsid w:val="00C32B6E"/>
    <w:rsid w:val="00C33095"/>
    <w:rsid w:val="00C332E0"/>
    <w:rsid w:val="00C33C21"/>
    <w:rsid w:val="00C33EFF"/>
    <w:rsid w:val="00C34295"/>
    <w:rsid w:val="00C34646"/>
    <w:rsid w:val="00C34F88"/>
    <w:rsid w:val="00C34FCA"/>
    <w:rsid w:val="00C357B0"/>
    <w:rsid w:val="00C3588E"/>
    <w:rsid w:val="00C35932"/>
    <w:rsid w:val="00C35C10"/>
    <w:rsid w:val="00C3603C"/>
    <w:rsid w:val="00C36040"/>
    <w:rsid w:val="00C36708"/>
    <w:rsid w:val="00C36BA3"/>
    <w:rsid w:val="00C36EEE"/>
    <w:rsid w:val="00C36EFC"/>
    <w:rsid w:val="00C37359"/>
    <w:rsid w:val="00C37A3F"/>
    <w:rsid w:val="00C37C60"/>
    <w:rsid w:val="00C37F96"/>
    <w:rsid w:val="00C4014F"/>
    <w:rsid w:val="00C40571"/>
    <w:rsid w:val="00C410B9"/>
    <w:rsid w:val="00C4115B"/>
    <w:rsid w:val="00C418B7"/>
    <w:rsid w:val="00C426BD"/>
    <w:rsid w:val="00C42823"/>
    <w:rsid w:val="00C42B50"/>
    <w:rsid w:val="00C42FE8"/>
    <w:rsid w:val="00C433CF"/>
    <w:rsid w:val="00C43714"/>
    <w:rsid w:val="00C439BF"/>
    <w:rsid w:val="00C43AA2"/>
    <w:rsid w:val="00C440A6"/>
    <w:rsid w:val="00C44482"/>
    <w:rsid w:val="00C44522"/>
    <w:rsid w:val="00C44810"/>
    <w:rsid w:val="00C44E4A"/>
    <w:rsid w:val="00C45B6F"/>
    <w:rsid w:val="00C46A1A"/>
    <w:rsid w:val="00C46BC8"/>
    <w:rsid w:val="00C477FB"/>
    <w:rsid w:val="00C505C5"/>
    <w:rsid w:val="00C50711"/>
    <w:rsid w:val="00C507C1"/>
    <w:rsid w:val="00C50E67"/>
    <w:rsid w:val="00C5125C"/>
    <w:rsid w:val="00C513AA"/>
    <w:rsid w:val="00C5168B"/>
    <w:rsid w:val="00C51998"/>
    <w:rsid w:val="00C519FB"/>
    <w:rsid w:val="00C51A2D"/>
    <w:rsid w:val="00C51A3B"/>
    <w:rsid w:val="00C5230A"/>
    <w:rsid w:val="00C52583"/>
    <w:rsid w:val="00C52E28"/>
    <w:rsid w:val="00C52F06"/>
    <w:rsid w:val="00C53B05"/>
    <w:rsid w:val="00C53BE3"/>
    <w:rsid w:val="00C540B5"/>
    <w:rsid w:val="00C54667"/>
    <w:rsid w:val="00C547F7"/>
    <w:rsid w:val="00C54929"/>
    <w:rsid w:val="00C55A44"/>
    <w:rsid w:val="00C566C5"/>
    <w:rsid w:val="00C57374"/>
    <w:rsid w:val="00C57480"/>
    <w:rsid w:val="00C5749B"/>
    <w:rsid w:val="00C575B0"/>
    <w:rsid w:val="00C57608"/>
    <w:rsid w:val="00C57749"/>
    <w:rsid w:val="00C57A5B"/>
    <w:rsid w:val="00C57A62"/>
    <w:rsid w:val="00C57AAE"/>
    <w:rsid w:val="00C57D0E"/>
    <w:rsid w:val="00C57FFA"/>
    <w:rsid w:val="00C6005D"/>
    <w:rsid w:val="00C604A5"/>
    <w:rsid w:val="00C60C5E"/>
    <w:rsid w:val="00C60EA5"/>
    <w:rsid w:val="00C60F47"/>
    <w:rsid w:val="00C60F5C"/>
    <w:rsid w:val="00C6165D"/>
    <w:rsid w:val="00C617E0"/>
    <w:rsid w:val="00C6183A"/>
    <w:rsid w:val="00C61999"/>
    <w:rsid w:val="00C61C18"/>
    <w:rsid w:val="00C624AB"/>
    <w:rsid w:val="00C626C7"/>
    <w:rsid w:val="00C628A6"/>
    <w:rsid w:val="00C629C1"/>
    <w:rsid w:val="00C62A29"/>
    <w:rsid w:val="00C6345F"/>
    <w:rsid w:val="00C63C33"/>
    <w:rsid w:val="00C63EB3"/>
    <w:rsid w:val="00C64282"/>
    <w:rsid w:val="00C646A4"/>
    <w:rsid w:val="00C65176"/>
    <w:rsid w:val="00C6648C"/>
    <w:rsid w:val="00C6654E"/>
    <w:rsid w:val="00C66A22"/>
    <w:rsid w:val="00C66F10"/>
    <w:rsid w:val="00C67DD2"/>
    <w:rsid w:val="00C7045F"/>
    <w:rsid w:val="00C70836"/>
    <w:rsid w:val="00C70A44"/>
    <w:rsid w:val="00C70F10"/>
    <w:rsid w:val="00C72579"/>
    <w:rsid w:val="00C72AD7"/>
    <w:rsid w:val="00C72ED8"/>
    <w:rsid w:val="00C7369D"/>
    <w:rsid w:val="00C73952"/>
    <w:rsid w:val="00C73A71"/>
    <w:rsid w:val="00C74007"/>
    <w:rsid w:val="00C741E4"/>
    <w:rsid w:val="00C745C7"/>
    <w:rsid w:val="00C746EE"/>
    <w:rsid w:val="00C74708"/>
    <w:rsid w:val="00C7549C"/>
    <w:rsid w:val="00C755FD"/>
    <w:rsid w:val="00C75C6C"/>
    <w:rsid w:val="00C762B8"/>
    <w:rsid w:val="00C765A3"/>
    <w:rsid w:val="00C76B5A"/>
    <w:rsid w:val="00C77619"/>
    <w:rsid w:val="00C776E6"/>
    <w:rsid w:val="00C77F78"/>
    <w:rsid w:val="00C77F8C"/>
    <w:rsid w:val="00C8006B"/>
    <w:rsid w:val="00C8027D"/>
    <w:rsid w:val="00C80C9C"/>
    <w:rsid w:val="00C8162B"/>
    <w:rsid w:val="00C8170A"/>
    <w:rsid w:val="00C81845"/>
    <w:rsid w:val="00C81A4D"/>
    <w:rsid w:val="00C81FC8"/>
    <w:rsid w:val="00C8233B"/>
    <w:rsid w:val="00C823B6"/>
    <w:rsid w:val="00C828AF"/>
    <w:rsid w:val="00C828F9"/>
    <w:rsid w:val="00C82AA2"/>
    <w:rsid w:val="00C82CA6"/>
    <w:rsid w:val="00C82DEB"/>
    <w:rsid w:val="00C83011"/>
    <w:rsid w:val="00C83791"/>
    <w:rsid w:val="00C83878"/>
    <w:rsid w:val="00C83C85"/>
    <w:rsid w:val="00C83D1B"/>
    <w:rsid w:val="00C84328"/>
    <w:rsid w:val="00C84604"/>
    <w:rsid w:val="00C84A7A"/>
    <w:rsid w:val="00C84E3E"/>
    <w:rsid w:val="00C85227"/>
    <w:rsid w:val="00C855C5"/>
    <w:rsid w:val="00C858BD"/>
    <w:rsid w:val="00C859AB"/>
    <w:rsid w:val="00C85DB5"/>
    <w:rsid w:val="00C85F62"/>
    <w:rsid w:val="00C85FAC"/>
    <w:rsid w:val="00C86997"/>
    <w:rsid w:val="00C869C1"/>
    <w:rsid w:val="00C86C53"/>
    <w:rsid w:val="00C870AC"/>
    <w:rsid w:val="00C8722A"/>
    <w:rsid w:val="00C878C0"/>
    <w:rsid w:val="00C90199"/>
    <w:rsid w:val="00C902BB"/>
    <w:rsid w:val="00C90437"/>
    <w:rsid w:val="00C9108F"/>
    <w:rsid w:val="00C911DD"/>
    <w:rsid w:val="00C91788"/>
    <w:rsid w:val="00C91939"/>
    <w:rsid w:val="00C91969"/>
    <w:rsid w:val="00C91A7E"/>
    <w:rsid w:val="00C91E5C"/>
    <w:rsid w:val="00C92323"/>
    <w:rsid w:val="00C92553"/>
    <w:rsid w:val="00C9297B"/>
    <w:rsid w:val="00C92AFA"/>
    <w:rsid w:val="00C933D5"/>
    <w:rsid w:val="00C934D7"/>
    <w:rsid w:val="00C93775"/>
    <w:rsid w:val="00C93A5B"/>
    <w:rsid w:val="00C93DE7"/>
    <w:rsid w:val="00C94046"/>
    <w:rsid w:val="00C94627"/>
    <w:rsid w:val="00C949F6"/>
    <w:rsid w:val="00C94CE8"/>
    <w:rsid w:val="00C94E75"/>
    <w:rsid w:val="00C94F65"/>
    <w:rsid w:val="00C94FD1"/>
    <w:rsid w:val="00C94FE5"/>
    <w:rsid w:val="00C9527E"/>
    <w:rsid w:val="00C958C4"/>
    <w:rsid w:val="00C95B96"/>
    <w:rsid w:val="00C95BE6"/>
    <w:rsid w:val="00C95CB6"/>
    <w:rsid w:val="00C95EFE"/>
    <w:rsid w:val="00C960D4"/>
    <w:rsid w:val="00C963DB"/>
    <w:rsid w:val="00C9653F"/>
    <w:rsid w:val="00C96543"/>
    <w:rsid w:val="00C96787"/>
    <w:rsid w:val="00C970A7"/>
    <w:rsid w:val="00C970E2"/>
    <w:rsid w:val="00C973BD"/>
    <w:rsid w:val="00C973E8"/>
    <w:rsid w:val="00C97682"/>
    <w:rsid w:val="00C97744"/>
    <w:rsid w:val="00C979AA"/>
    <w:rsid w:val="00C97CB8"/>
    <w:rsid w:val="00CA0373"/>
    <w:rsid w:val="00CA0556"/>
    <w:rsid w:val="00CA12B1"/>
    <w:rsid w:val="00CA152C"/>
    <w:rsid w:val="00CA15B9"/>
    <w:rsid w:val="00CA1836"/>
    <w:rsid w:val="00CA1890"/>
    <w:rsid w:val="00CA1B41"/>
    <w:rsid w:val="00CA1D0E"/>
    <w:rsid w:val="00CA2391"/>
    <w:rsid w:val="00CA243F"/>
    <w:rsid w:val="00CA2CB5"/>
    <w:rsid w:val="00CA3785"/>
    <w:rsid w:val="00CA3865"/>
    <w:rsid w:val="00CA3AC7"/>
    <w:rsid w:val="00CA3AE9"/>
    <w:rsid w:val="00CA45B1"/>
    <w:rsid w:val="00CA476C"/>
    <w:rsid w:val="00CA477C"/>
    <w:rsid w:val="00CA5071"/>
    <w:rsid w:val="00CA521C"/>
    <w:rsid w:val="00CA5343"/>
    <w:rsid w:val="00CA593C"/>
    <w:rsid w:val="00CA5F35"/>
    <w:rsid w:val="00CA5F3B"/>
    <w:rsid w:val="00CA5FBA"/>
    <w:rsid w:val="00CA61B0"/>
    <w:rsid w:val="00CA6CBD"/>
    <w:rsid w:val="00CA6D8C"/>
    <w:rsid w:val="00CA7564"/>
    <w:rsid w:val="00CA75A5"/>
    <w:rsid w:val="00CA7BD4"/>
    <w:rsid w:val="00CB06E3"/>
    <w:rsid w:val="00CB0BD0"/>
    <w:rsid w:val="00CB0D4E"/>
    <w:rsid w:val="00CB1964"/>
    <w:rsid w:val="00CB196E"/>
    <w:rsid w:val="00CB2224"/>
    <w:rsid w:val="00CB231D"/>
    <w:rsid w:val="00CB232A"/>
    <w:rsid w:val="00CB24B1"/>
    <w:rsid w:val="00CB2515"/>
    <w:rsid w:val="00CB33E6"/>
    <w:rsid w:val="00CB39D1"/>
    <w:rsid w:val="00CB3F2C"/>
    <w:rsid w:val="00CB488C"/>
    <w:rsid w:val="00CB5363"/>
    <w:rsid w:val="00CB5704"/>
    <w:rsid w:val="00CB5833"/>
    <w:rsid w:val="00CB5B65"/>
    <w:rsid w:val="00CB602E"/>
    <w:rsid w:val="00CB6163"/>
    <w:rsid w:val="00CB62C3"/>
    <w:rsid w:val="00CB62F3"/>
    <w:rsid w:val="00CB65B6"/>
    <w:rsid w:val="00CB6B29"/>
    <w:rsid w:val="00CB6EA7"/>
    <w:rsid w:val="00CB73D6"/>
    <w:rsid w:val="00CB73E1"/>
    <w:rsid w:val="00CB74BF"/>
    <w:rsid w:val="00CB7B9B"/>
    <w:rsid w:val="00CB7D2D"/>
    <w:rsid w:val="00CB7FA9"/>
    <w:rsid w:val="00CC0F76"/>
    <w:rsid w:val="00CC1183"/>
    <w:rsid w:val="00CC127A"/>
    <w:rsid w:val="00CC391B"/>
    <w:rsid w:val="00CC4DAC"/>
    <w:rsid w:val="00CC51C0"/>
    <w:rsid w:val="00CC5376"/>
    <w:rsid w:val="00CC618D"/>
    <w:rsid w:val="00CC63AB"/>
    <w:rsid w:val="00CC6823"/>
    <w:rsid w:val="00CC6EE1"/>
    <w:rsid w:val="00CC73F5"/>
    <w:rsid w:val="00CC7749"/>
    <w:rsid w:val="00CC788B"/>
    <w:rsid w:val="00CD05E5"/>
    <w:rsid w:val="00CD0F16"/>
    <w:rsid w:val="00CD105D"/>
    <w:rsid w:val="00CD146A"/>
    <w:rsid w:val="00CD16AD"/>
    <w:rsid w:val="00CD1932"/>
    <w:rsid w:val="00CD1A17"/>
    <w:rsid w:val="00CD1B0E"/>
    <w:rsid w:val="00CD2118"/>
    <w:rsid w:val="00CD21B9"/>
    <w:rsid w:val="00CD2254"/>
    <w:rsid w:val="00CD243A"/>
    <w:rsid w:val="00CD2A42"/>
    <w:rsid w:val="00CD2D6C"/>
    <w:rsid w:val="00CD3C9A"/>
    <w:rsid w:val="00CD3EDE"/>
    <w:rsid w:val="00CD438B"/>
    <w:rsid w:val="00CD463D"/>
    <w:rsid w:val="00CD4805"/>
    <w:rsid w:val="00CD5495"/>
    <w:rsid w:val="00CD57FA"/>
    <w:rsid w:val="00CD5A6C"/>
    <w:rsid w:val="00CD5DED"/>
    <w:rsid w:val="00CD6CE1"/>
    <w:rsid w:val="00CD6FAE"/>
    <w:rsid w:val="00CD736D"/>
    <w:rsid w:val="00CD7AC9"/>
    <w:rsid w:val="00CD7AFD"/>
    <w:rsid w:val="00CE00EE"/>
    <w:rsid w:val="00CE01AB"/>
    <w:rsid w:val="00CE02E1"/>
    <w:rsid w:val="00CE05CE"/>
    <w:rsid w:val="00CE099C"/>
    <w:rsid w:val="00CE0A5C"/>
    <w:rsid w:val="00CE0B19"/>
    <w:rsid w:val="00CE0F80"/>
    <w:rsid w:val="00CE122E"/>
    <w:rsid w:val="00CE138E"/>
    <w:rsid w:val="00CE19DE"/>
    <w:rsid w:val="00CE1C45"/>
    <w:rsid w:val="00CE30A1"/>
    <w:rsid w:val="00CE42B3"/>
    <w:rsid w:val="00CE47C5"/>
    <w:rsid w:val="00CE47C8"/>
    <w:rsid w:val="00CE54EB"/>
    <w:rsid w:val="00CE557A"/>
    <w:rsid w:val="00CE5792"/>
    <w:rsid w:val="00CE5839"/>
    <w:rsid w:val="00CE641A"/>
    <w:rsid w:val="00CE6623"/>
    <w:rsid w:val="00CE69E9"/>
    <w:rsid w:val="00CE6A62"/>
    <w:rsid w:val="00CE6B05"/>
    <w:rsid w:val="00CE6CB3"/>
    <w:rsid w:val="00CE6FC7"/>
    <w:rsid w:val="00CE7826"/>
    <w:rsid w:val="00CE79ED"/>
    <w:rsid w:val="00CE7CF0"/>
    <w:rsid w:val="00CE7FDD"/>
    <w:rsid w:val="00CF01AE"/>
    <w:rsid w:val="00CF03CF"/>
    <w:rsid w:val="00CF0B9D"/>
    <w:rsid w:val="00CF0DBF"/>
    <w:rsid w:val="00CF0EFD"/>
    <w:rsid w:val="00CF151E"/>
    <w:rsid w:val="00CF2513"/>
    <w:rsid w:val="00CF2619"/>
    <w:rsid w:val="00CF2849"/>
    <w:rsid w:val="00CF2900"/>
    <w:rsid w:val="00CF2B9C"/>
    <w:rsid w:val="00CF3520"/>
    <w:rsid w:val="00CF354E"/>
    <w:rsid w:val="00CF38FC"/>
    <w:rsid w:val="00CF3A73"/>
    <w:rsid w:val="00CF3D57"/>
    <w:rsid w:val="00CF4099"/>
    <w:rsid w:val="00CF450B"/>
    <w:rsid w:val="00CF4A94"/>
    <w:rsid w:val="00CF4BA1"/>
    <w:rsid w:val="00CF4D30"/>
    <w:rsid w:val="00CF4FB1"/>
    <w:rsid w:val="00CF5118"/>
    <w:rsid w:val="00CF53F0"/>
    <w:rsid w:val="00CF5A3E"/>
    <w:rsid w:val="00CF5A55"/>
    <w:rsid w:val="00CF5D3B"/>
    <w:rsid w:val="00CF5DD1"/>
    <w:rsid w:val="00CF6719"/>
    <w:rsid w:val="00CF717A"/>
    <w:rsid w:val="00CF73EE"/>
    <w:rsid w:val="00CF75BF"/>
    <w:rsid w:val="00CF7E85"/>
    <w:rsid w:val="00D009EC"/>
    <w:rsid w:val="00D00C8B"/>
    <w:rsid w:val="00D01469"/>
    <w:rsid w:val="00D01B37"/>
    <w:rsid w:val="00D02ADF"/>
    <w:rsid w:val="00D02B0C"/>
    <w:rsid w:val="00D03CBD"/>
    <w:rsid w:val="00D041B3"/>
    <w:rsid w:val="00D0425E"/>
    <w:rsid w:val="00D04295"/>
    <w:rsid w:val="00D0438C"/>
    <w:rsid w:val="00D04A16"/>
    <w:rsid w:val="00D0544E"/>
    <w:rsid w:val="00D055AD"/>
    <w:rsid w:val="00D05A33"/>
    <w:rsid w:val="00D05E94"/>
    <w:rsid w:val="00D05F42"/>
    <w:rsid w:val="00D061BA"/>
    <w:rsid w:val="00D06CAC"/>
    <w:rsid w:val="00D06CD9"/>
    <w:rsid w:val="00D06E0D"/>
    <w:rsid w:val="00D07531"/>
    <w:rsid w:val="00D0763D"/>
    <w:rsid w:val="00D07AC4"/>
    <w:rsid w:val="00D07C4E"/>
    <w:rsid w:val="00D10462"/>
    <w:rsid w:val="00D104FC"/>
    <w:rsid w:val="00D106BE"/>
    <w:rsid w:val="00D10E6C"/>
    <w:rsid w:val="00D11F95"/>
    <w:rsid w:val="00D12270"/>
    <w:rsid w:val="00D13583"/>
    <w:rsid w:val="00D14705"/>
    <w:rsid w:val="00D1473D"/>
    <w:rsid w:val="00D150F9"/>
    <w:rsid w:val="00D15DCC"/>
    <w:rsid w:val="00D1679C"/>
    <w:rsid w:val="00D16D0C"/>
    <w:rsid w:val="00D170CA"/>
    <w:rsid w:val="00D175D3"/>
    <w:rsid w:val="00D178BB"/>
    <w:rsid w:val="00D17BE1"/>
    <w:rsid w:val="00D17E6F"/>
    <w:rsid w:val="00D20519"/>
    <w:rsid w:val="00D20689"/>
    <w:rsid w:val="00D209F4"/>
    <w:rsid w:val="00D21193"/>
    <w:rsid w:val="00D21B70"/>
    <w:rsid w:val="00D21F60"/>
    <w:rsid w:val="00D221AC"/>
    <w:rsid w:val="00D223AB"/>
    <w:rsid w:val="00D22675"/>
    <w:rsid w:val="00D228AF"/>
    <w:rsid w:val="00D228B7"/>
    <w:rsid w:val="00D2360B"/>
    <w:rsid w:val="00D23CED"/>
    <w:rsid w:val="00D23E11"/>
    <w:rsid w:val="00D24937"/>
    <w:rsid w:val="00D259C9"/>
    <w:rsid w:val="00D25AD9"/>
    <w:rsid w:val="00D25F4D"/>
    <w:rsid w:val="00D2690D"/>
    <w:rsid w:val="00D271EA"/>
    <w:rsid w:val="00D27272"/>
    <w:rsid w:val="00D27339"/>
    <w:rsid w:val="00D27C1E"/>
    <w:rsid w:val="00D27DE4"/>
    <w:rsid w:val="00D27F9C"/>
    <w:rsid w:val="00D30049"/>
    <w:rsid w:val="00D30112"/>
    <w:rsid w:val="00D3058F"/>
    <w:rsid w:val="00D31402"/>
    <w:rsid w:val="00D317FC"/>
    <w:rsid w:val="00D31BB9"/>
    <w:rsid w:val="00D32989"/>
    <w:rsid w:val="00D332C0"/>
    <w:rsid w:val="00D33589"/>
    <w:rsid w:val="00D33A7E"/>
    <w:rsid w:val="00D33B35"/>
    <w:rsid w:val="00D33E98"/>
    <w:rsid w:val="00D34010"/>
    <w:rsid w:val="00D3519C"/>
    <w:rsid w:val="00D35645"/>
    <w:rsid w:val="00D356FF"/>
    <w:rsid w:val="00D359C6"/>
    <w:rsid w:val="00D359F6"/>
    <w:rsid w:val="00D3611E"/>
    <w:rsid w:val="00D364DC"/>
    <w:rsid w:val="00D36587"/>
    <w:rsid w:val="00D36F6E"/>
    <w:rsid w:val="00D36FE7"/>
    <w:rsid w:val="00D370CF"/>
    <w:rsid w:val="00D4012A"/>
    <w:rsid w:val="00D40DDB"/>
    <w:rsid w:val="00D42131"/>
    <w:rsid w:val="00D42B57"/>
    <w:rsid w:val="00D42BE9"/>
    <w:rsid w:val="00D42C9B"/>
    <w:rsid w:val="00D42D93"/>
    <w:rsid w:val="00D43420"/>
    <w:rsid w:val="00D434CF"/>
    <w:rsid w:val="00D43758"/>
    <w:rsid w:val="00D4436A"/>
    <w:rsid w:val="00D44712"/>
    <w:rsid w:val="00D452D3"/>
    <w:rsid w:val="00D455DD"/>
    <w:rsid w:val="00D459B3"/>
    <w:rsid w:val="00D45CAA"/>
    <w:rsid w:val="00D46A55"/>
    <w:rsid w:val="00D4743E"/>
    <w:rsid w:val="00D4760C"/>
    <w:rsid w:val="00D47624"/>
    <w:rsid w:val="00D50513"/>
    <w:rsid w:val="00D50CE4"/>
    <w:rsid w:val="00D50FF6"/>
    <w:rsid w:val="00D511AE"/>
    <w:rsid w:val="00D51365"/>
    <w:rsid w:val="00D517C6"/>
    <w:rsid w:val="00D51C6C"/>
    <w:rsid w:val="00D52727"/>
    <w:rsid w:val="00D534DC"/>
    <w:rsid w:val="00D53BEC"/>
    <w:rsid w:val="00D5493B"/>
    <w:rsid w:val="00D54C2C"/>
    <w:rsid w:val="00D55782"/>
    <w:rsid w:val="00D55925"/>
    <w:rsid w:val="00D559A3"/>
    <w:rsid w:val="00D55AF2"/>
    <w:rsid w:val="00D55B9B"/>
    <w:rsid w:val="00D55BD3"/>
    <w:rsid w:val="00D560DF"/>
    <w:rsid w:val="00D56154"/>
    <w:rsid w:val="00D569D6"/>
    <w:rsid w:val="00D56B15"/>
    <w:rsid w:val="00D572A0"/>
    <w:rsid w:val="00D57BD4"/>
    <w:rsid w:val="00D61181"/>
    <w:rsid w:val="00D613B1"/>
    <w:rsid w:val="00D61616"/>
    <w:rsid w:val="00D617CB"/>
    <w:rsid w:val="00D6184E"/>
    <w:rsid w:val="00D6185B"/>
    <w:rsid w:val="00D6193C"/>
    <w:rsid w:val="00D619AB"/>
    <w:rsid w:val="00D61BE8"/>
    <w:rsid w:val="00D620EC"/>
    <w:rsid w:val="00D6219F"/>
    <w:rsid w:val="00D6274A"/>
    <w:rsid w:val="00D62897"/>
    <w:rsid w:val="00D62B6F"/>
    <w:rsid w:val="00D6344C"/>
    <w:rsid w:val="00D6357A"/>
    <w:rsid w:val="00D6384B"/>
    <w:rsid w:val="00D640E5"/>
    <w:rsid w:val="00D643B5"/>
    <w:rsid w:val="00D647F7"/>
    <w:rsid w:val="00D64C58"/>
    <w:rsid w:val="00D65469"/>
    <w:rsid w:val="00D65DB5"/>
    <w:rsid w:val="00D65DEE"/>
    <w:rsid w:val="00D66809"/>
    <w:rsid w:val="00D6687A"/>
    <w:rsid w:val="00D672B3"/>
    <w:rsid w:val="00D67378"/>
    <w:rsid w:val="00D675BE"/>
    <w:rsid w:val="00D70F15"/>
    <w:rsid w:val="00D71293"/>
    <w:rsid w:val="00D71C58"/>
    <w:rsid w:val="00D71DD4"/>
    <w:rsid w:val="00D7203D"/>
    <w:rsid w:val="00D722D5"/>
    <w:rsid w:val="00D72749"/>
    <w:rsid w:val="00D7278E"/>
    <w:rsid w:val="00D72B09"/>
    <w:rsid w:val="00D72C5A"/>
    <w:rsid w:val="00D72E61"/>
    <w:rsid w:val="00D72FA6"/>
    <w:rsid w:val="00D732C3"/>
    <w:rsid w:val="00D73952"/>
    <w:rsid w:val="00D73FA2"/>
    <w:rsid w:val="00D747F9"/>
    <w:rsid w:val="00D75080"/>
    <w:rsid w:val="00D753A9"/>
    <w:rsid w:val="00D75810"/>
    <w:rsid w:val="00D75D7A"/>
    <w:rsid w:val="00D7603F"/>
    <w:rsid w:val="00D76585"/>
    <w:rsid w:val="00D76763"/>
    <w:rsid w:val="00D76B74"/>
    <w:rsid w:val="00D76B84"/>
    <w:rsid w:val="00D76DF8"/>
    <w:rsid w:val="00D773E0"/>
    <w:rsid w:val="00D77BC1"/>
    <w:rsid w:val="00D8035C"/>
    <w:rsid w:val="00D80EB5"/>
    <w:rsid w:val="00D81041"/>
    <w:rsid w:val="00D811B0"/>
    <w:rsid w:val="00D81200"/>
    <w:rsid w:val="00D813CB"/>
    <w:rsid w:val="00D81A1D"/>
    <w:rsid w:val="00D81C5C"/>
    <w:rsid w:val="00D82838"/>
    <w:rsid w:val="00D82B22"/>
    <w:rsid w:val="00D82F46"/>
    <w:rsid w:val="00D830E1"/>
    <w:rsid w:val="00D83A90"/>
    <w:rsid w:val="00D842AA"/>
    <w:rsid w:val="00D845D8"/>
    <w:rsid w:val="00D846BE"/>
    <w:rsid w:val="00D848C0"/>
    <w:rsid w:val="00D84DF9"/>
    <w:rsid w:val="00D85293"/>
    <w:rsid w:val="00D852E2"/>
    <w:rsid w:val="00D85809"/>
    <w:rsid w:val="00D85EB4"/>
    <w:rsid w:val="00D865EC"/>
    <w:rsid w:val="00D86977"/>
    <w:rsid w:val="00D87258"/>
    <w:rsid w:val="00D874EF"/>
    <w:rsid w:val="00D877B6"/>
    <w:rsid w:val="00D879D4"/>
    <w:rsid w:val="00D91CE2"/>
    <w:rsid w:val="00D92ECE"/>
    <w:rsid w:val="00D93212"/>
    <w:rsid w:val="00D93870"/>
    <w:rsid w:val="00D939A8"/>
    <w:rsid w:val="00D94043"/>
    <w:rsid w:val="00D940A1"/>
    <w:rsid w:val="00D9490C"/>
    <w:rsid w:val="00D94A6F"/>
    <w:rsid w:val="00D94DBF"/>
    <w:rsid w:val="00D951EB"/>
    <w:rsid w:val="00D954E0"/>
    <w:rsid w:val="00D95581"/>
    <w:rsid w:val="00D9583E"/>
    <w:rsid w:val="00D960F5"/>
    <w:rsid w:val="00D96B17"/>
    <w:rsid w:val="00D96D60"/>
    <w:rsid w:val="00D96DAF"/>
    <w:rsid w:val="00D96EAC"/>
    <w:rsid w:val="00D97396"/>
    <w:rsid w:val="00D97C40"/>
    <w:rsid w:val="00DA005A"/>
    <w:rsid w:val="00DA0563"/>
    <w:rsid w:val="00DA0F07"/>
    <w:rsid w:val="00DA13C1"/>
    <w:rsid w:val="00DA1535"/>
    <w:rsid w:val="00DA171E"/>
    <w:rsid w:val="00DA1B4E"/>
    <w:rsid w:val="00DA1CBC"/>
    <w:rsid w:val="00DA2534"/>
    <w:rsid w:val="00DA27EA"/>
    <w:rsid w:val="00DA35D1"/>
    <w:rsid w:val="00DA39B4"/>
    <w:rsid w:val="00DA3EEA"/>
    <w:rsid w:val="00DA3FE3"/>
    <w:rsid w:val="00DA41C8"/>
    <w:rsid w:val="00DA4848"/>
    <w:rsid w:val="00DA4B5A"/>
    <w:rsid w:val="00DA55A1"/>
    <w:rsid w:val="00DA5831"/>
    <w:rsid w:val="00DA5B0A"/>
    <w:rsid w:val="00DA5B2E"/>
    <w:rsid w:val="00DA5C12"/>
    <w:rsid w:val="00DA5FAF"/>
    <w:rsid w:val="00DA6C53"/>
    <w:rsid w:val="00DA70CE"/>
    <w:rsid w:val="00DA7314"/>
    <w:rsid w:val="00DA7C7B"/>
    <w:rsid w:val="00DA7CDB"/>
    <w:rsid w:val="00DA7EE9"/>
    <w:rsid w:val="00DA7F7E"/>
    <w:rsid w:val="00DB074F"/>
    <w:rsid w:val="00DB0C12"/>
    <w:rsid w:val="00DB1360"/>
    <w:rsid w:val="00DB13F6"/>
    <w:rsid w:val="00DB1649"/>
    <w:rsid w:val="00DB1950"/>
    <w:rsid w:val="00DB1B7E"/>
    <w:rsid w:val="00DB1CD7"/>
    <w:rsid w:val="00DB1ED0"/>
    <w:rsid w:val="00DB2377"/>
    <w:rsid w:val="00DB25AD"/>
    <w:rsid w:val="00DB262D"/>
    <w:rsid w:val="00DB26AD"/>
    <w:rsid w:val="00DB2F19"/>
    <w:rsid w:val="00DB3436"/>
    <w:rsid w:val="00DB366E"/>
    <w:rsid w:val="00DB3B5B"/>
    <w:rsid w:val="00DB404F"/>
    <w:rsid w:val="00DB43F1"/>
    <w:rsid w:val="00DB45F9"/>
    <w:rsid w:val="00DB4638"/>
    <w:rsid w:val="00DB47AD"/>
    <w:rsid w:val="00DB47CE"/>
    <w:rsid w:val="00DB4AAA"/>
    <w:rsid w:val="00DB4B59"/>
    <w:rsid w:val="00DB4CFE"/>
    <w:rsid w:val="00DB4EAC"/>
    <w:rsid w:val="00DB5BAE"/>
    <w:rsid w:val="00DB5C38"/>
    <w:rsid w:val="00DB671E"/>
    <w:rsid w:val="00DB6A8F"/>
    <w:rsid w:val="00DB6D0C"/>
    <w:rsid w:val="00DB712D"/>
    <w:rsid w:val="00DB7430"/>
    <w:rsid w:val="00DB7754"/>
    <w:rsid w:val="00DB7956"/>
    <w:rsid w:val="00DC00CD"/>
    <w:rsid w:val="00DC025E"/>
    <w:rsid w:val="00DC02DE"/>
    <w:rsid w:val="00DC0356"/>
    <w:rsid w:val="00DC055D"/>
    <w:rsid w:val="00DC05B9"/>
    <w:rsid w:val="00DC05DA"/>
    <w:rsid w:val="00DC05E1"/>
    <w:rsid w:val="00DC09E5"/>
    <w:rsid w:val="00DC0A50"/>
    <w:rsid w:val="00DC0A97"/>
    <w:rsid w:val="00DC1B3D"/>
    <w:rsid w:val="00DC1C88"/>
    <w:rsid w:val="00DC1D34"/>
    <w:rsid w:val="00DC201F"/>
    <w:rsid w:val="00DC2098"/>
    <w:rsid w:val="00DC23BB"/>
    <w:rsid w:val="00DC2682"/>
    <w:rsid w:val="00DC3257"/>
    <w:rsid w:val="00DC4B6F"/>
    <w:rsid w:val="00DC583C"/>
    <w:rsid w:val="00DC5C49"/>
    <w:rsid w:val="00DC685B"/>
    <w:rsid w:val="00DC6A1A"/>
    <w:rsid w:val="00DC6C38"/>
    <w:rsid w:val="00DC6F8C"/>
    <w:rsid w:val="00DC7214"/>
    <w:rsid w:val="00DC742E"/>
    <w:rsid w:val="00DC7684"/>
    <w:rsid w:val="00DC794C"/>
    <w:rsid w:val="00DC79F2"/>
    <w:rsid w:val="00DC7C87"/>
    <w:rsid w:val="00DC7D54"/>
    <w:rsid w:val="00DC7E9C"/>
    <w:rsid w:val="00DC7F29"/>
    <w:rsid w:val="00DC7F79"/>
    <w:rsid w:val="00DD0233"/>
    <w:rsid w:val="00DD02CB"/>
    <w:rsid w:val="00DD07BB"/>
    <w:rsid w:val="00DD0AF3"/>
    <w:rsid w:val="00DD0C6B"/>
    <w:rsid w:val="00DD1115"/>
    <w:rsid w:val="00DD121B"/>
    <w:rsid w:val="00DD162E"/>
    <w:rsid w:val="00DD1AC3"/>
    <w:rsid w:val="00DD1B0B"/>
    <w:rsid w:val="00DD268E"/>
    <w:rsid w:val="00DD26ED"/>
    <w:rsid w:val="00DD2848"/>
    <w:rsid w:val="00DD28C5"/>
    <w:rsid w:val="00DD2C62"/>
    <w:rsid w:val="00DD2F45"/>
    <w:rsid w:val="00DD30E2"/>
    <w:rsid w:val="00DD369B"/>
    <w:rsid w:val="00DD3892"/>
    <w:rsid w:val="00DD3A2C"/>
    <w:rsid w:val="00DD411C"/>
    <w:rsid w:val="00DD4445"/>
    <w:rsid w:val="00DD4778"/>
    <w:rsid w:val="00DD4B3D"/>
    <w:rsid w:val="00DD52DE"/>
    <w:rsid w:val="00DD543B"/>
    <w:rsid w:val="00DD5DA2"/>
    <w:rsid w:val="00DD5EA9"/>
    <w:rsid w:val="00DD62CC"/>
    <w:rsid w:val="00DD65C4"/>
    <w:rsid w:val="00DD66C6"/>
    <w:rsid w:val="00DD684E"/>
    <w:rsid w:val="00DD6B19"/>
    <w:rsid w:val="00DD70E8"/>
    <w:rsid w:val="00DD7149"/>
    <w:rsid w:val="00DD7EF9"/>
    <w:rsid w:val="00DD7F68"/>
    <w:rsid w:val="00DE0088"/>
    <w:rsid w:val="00DE0950"/>
    <w:rsid w:val="00DE0B75"/>
    <w:rsid w:val="00DE1DE3"/>
    <w:rsid w:val="00DE1E3B"/>
    <w:rsid w:val="00DE239D"/>
    <w:rsid w:val="00DE245C"/>
    <w:rsid w:val="00DE2E6E"/>
    <w:rsid w:val="00DE311F"/>
    <w:rsid w:val="00DE347C"/>
    <w:rsid w:val="00DE34D9"/>
    <w:rsid w:val="00DE3630"/>
    <w:rsid w:val="00DE37EE"/>
    <w:rsid w:val="00DE39AF"/>
    <w:rsid w:val="00DE3DF1"/>
    <w:rsid w:val="00DE3E1C"/>
    <w:rsid w:val="00DE48BC"/>
    <w:rsid w:val="00DE4AF6"/>
    <w:rsid w:val="00DE52D8"/>
    <w:rsid w:val="00DE5487"/>
    <w:rsid w:val="00DE54C4"/>
    <w:rsid w:val="00DE56C5"/>
    <w:rsid w:val="00DE5B48"/>
    <w:rsid w:val="00DE5BA5"/>
    <w:rsid w:val="00DE5BF0"/>
    <w:rsid w:val="00DE5F95"/>
    <w:rsid w:val="00DE7055"/>
    <w:rsid w:val="00DE734B"/>
    <w:rsid w:val="00DE7681"/>
    <w:rsid w:val="00DE7DB8"/>
    <w:rsid w:val="00DF06BE"/>
    <w:rsid w:val="00DF07A6"/>
    <w:rsid w:val="00DF07E6"/>
    <w:rsid w:val="00DF0BDA"/>
    <w:rsid w:val="00DF0F17"/>
    <w:rsid w:val="00DF1080"/>
    <w:rsid w:val="00DF12FA"/>
    <w:rsid w:val="00DF14F7"/>
    <w:rsid w:val="00DF1903"/>
    <w:rsid w:val="00DF1CBF"/>
    <w:rsid w:val="00DF214D"/>
    <w:rsid w:val="00DF32D9"/>
    <w:rsid w:val="00DF3367"/>
    <w:rsid w:val="00DF345F"/>
    <w:rsid w:val="00DF363E"/>
    <w:rsid w:val="00DF458B"/>
    <w:rsid w:val="00DF4773"/>
    <w:rsid w:val="00DF498E"/>
    <w:rsid w:val="00DF4B68"/>
    <w:rsid w:val="00DF4B6C"/>
    <w:rsid w:val="00DF51B3"/>
    <w:rsid w:val="00DF5A49"/>
    <w:rsid w:val="00DF60B6"/>
    <w:rsid w:val="00DF6434"/>
    <w:rsid w:val="00DF643A"/>
    <w:rsid w:val="00DF68C0"/>
    <w:rsid w:val="00DF6D85"/>
    <w:rsid w:val="00DF744D"/>
    <w:rsid w:val="00DF755F"/>
    <w:rsid w:val="00DF7E3E"/>
    <w:rsid w:val="00E00062"/>
    <w:rsid w:val="00E0038F"/>
    <w:rsid w:val="00E00858"/>
    <w:rsid w:val="00E00A26"/>
    <w:rsid w:val="00E00B7D"/>
    <w:rsid w:val="00E00FA4"/>
    <w:rsid w:val="00E011F9"/>
    <w:rsid w:val="00E01447"/>
    <w:rsid w:val="00E01945"/>
    <w:rsid w:val="00E01C4E"/>
    <w:rsid w:val="00E022C1"/>
    <w:rsid w:val="00E024B2"/>
    <w:rsid w:val="00E02620"/>
    <w:rsid w:val="00E02846"/>
    <w:rsid w:val="00E02F78"/>
    <w:rsid w:val="00E03066"/>
    <w:rsid w:val="00E0328D"/>
    <w:rsid w:val="00E032E2"/>
    <w:rsid w:val="00E033C5"/>
    <w:rsid w:val="00E037C8"/>
    <w:rsid w:val="00E038EB"/>
    <w:rsid w:val="00E040B9"/>
    <w:rsid w:val="00E04D41"/>
    <w:rsid w:val="00E04EB1"/>
    <w:rsid w:val="00E05DCA"/>
    <w:rsid w:val="00E0612A"/>
    <w:rsid w:val="00E067F9"/>
    <w:rsid w:val="00E06B9A"/>
    <w:rsid w:val="00E0719D"/>
    <w:rsid w:val="00E07350"/>
    <w:rsid w:val="00E07BA3"/>
    <w:rsid w:val="00E10A14"/>
    <w:rsid w:val="00E10DEF"/>
    <w:rsid w:val="00E114A2"/>
    <w:rsid w:val="00E1249A"/>
    <w:rsid w:val="00E124EE"/>
    <w:rsid w:val="00E1257C"/>
    <w:rsid w:val="00E1260A"/>
    <w:rsid w:val="00E12822"/>
    <w:rsid w:val="00E128A4"/>
    <w:rsid w:val="00E1293D"/>
    <w:rsid w:val="00E13185"/>
    <w:rsid w:val="00E13307"/>
    <w:rsid w:val="00E140AC"/>
    <w:rsid w:val="00E14283"/>
    <w:rsid w:val="00E1488B"/>
    <w:rsid w:val="00E150FF"/>
    <w:rsid w:val="00E151EB"/>
    <w:rsid w:val="00E1553B"/>
    <w:rsid w:val="00E163ED"/>
    <w:rsid w:val="00E16641"/>
    <w:rsid w:val="00E17B5B"/>
    <w:rsid w:val="00E17D5E"/>
    <w:rsid w:val="00E2029F"/>
    <w:rsid w:val="00E20A0D"/>
    <w:rsid w:val="00E21774"/>
    <w:rsid w:val="00E21E11"/>
    <w:rsid w:val="00E21E17"/>
    <w:rsid w:val="00E220E2"/>
    <w:rsid w:val="00E22156"/>
    <w:rsid w:val="00E22C7A"/>
    <w:rsid w:val="00E23604"/>
    <w:rsid w:val="00E23D84"/>
    <w:rsid w:val="00E24311"/>
    <w:rsid w:val="00E2475B"/>
    <w:rsid w:val="00E24CF0"/>
    <w:rsid w:val="00E24E3D"/>
    <w:rsid w:val="00E24E62"/>
    <w:rsid w:val="00E24FED"/>
    <w:rsid w:val="00E254D3"/>
    <w:rsid w:val="00E25653"/>
    <w:rsid w:val="00E25666"/>
    <w:rsid w:val="00E25768"/>
    <w:rsid w:val="00E267E7"/>
    <w:rsid w:val="00E26DAA"/>
    <w:rsid w:val="00E272C4"/>
    <w:rsid w:val="00E2753D"/>
    <w:rsid w:val="00E27582"/>
    <w:rsid w:val="00E2760B"/>
    <w:rsid w:val="00E30496"/>
    <w:rsid w:val="00E30B87"/>
    <w:rsid w:val="00E30CE9"/>
    <w:rsid w:val="00E30E43"/>
    <w:rsid w:val="00E31019"/>
    <w:rsid w:val="00E3149E"/>
    <w:rsid w:val="00E317EB"/>
    <w:rsid w:val="00E31AA0"/>
    <w:rsid w:val="00E31CE2"/>
    <w:rsid w:val="00E31D0C"/>
    <w:rsid w:val="00E31D94"/>
    <w:rsid w:val="00E320A4"/>
    <w:rsid w:val="00E3219D"/>
    <w:rsid w:val="00E321A9"/>
    <w:rsid w:val="00E32322"/>
    <w:rsid w:val="00E32842"/>
    <w:rsid w:val="00E3328A"/>
    <w:rsid w:val="00E3329D"/>
    <w:rsid w:val="00E33A29"/>
    <w:rsid w:val="00E33AF7"/>
    <w:rsid w:val="00E34034"/>
    <w:rsid w:val="00E35345"/>
    <w:rsid w:val="00E35514"/>
    <w:rsid w:val="00E35713"/>
    <w:rsid w:val="00E358C3"/>
    <w:rsid w:val="00E35A7C"/>
    <w:rsid w:val="00E35E1F"/>
    <w:rsid w:val="00E35F29"/>
    <w:rsid w:val="00E35FE0"/>
    <w:rsid w:val="00E360F5"/>
    <w:rsid w:val="00E3628B"/>
    <w:rsid w:val="00E36332"/>
    <w:rsid w:val="00E36BF4"/>
    <w:rsid w:val="00E37497"/>
    <w:rsid w:val="00E375EF"/>
    <w:rsid w:val="00E37662"/>
    <w:rsid w:val="00E37A67"/>
    <w:rsid w:val="00E37B62"/>
    <w:rsid w:val="00E40240"/>
    <w:rsid w:val="00E40A3D"/>
    <w:rsid w:val="00E40AEF"/>
    <w:rsid w:val="00E40B25"/>
    <w:rsid w:val="00E40F92"/>
    <w:rsid w:val="00E4116A"/>
    <w:rsid w:val="00E413DF"/>
    <w:rsid w:val="00E4160D"/>
    <w:rsid w:val="00E41630"/>
    <w:rsid w:val="00E41AFE"/>
    <w:rsid w:val="00E41BBD"/>
    <w:rsid w:val="00E42341"/>
    <w:rsid w:val="00E42954"/>
    <w:rsid w:val="00E42D6B"/>
    <w:rsid w:val="00E42EC8"/>
    <w:rsid w:val="00E43191"/>
    <w:rsid w:val="00E43490"/>
    <w:rsid w:val="00E43CCF"/>
    <w:rsid w:val="00E43E7E"/>
    <w:rsid w:val="00E44981"/>
    <w:rsid w:val="00E44DDF"/>
    <w:rsid w:val="00E44E6A"/>
    <w:rsid w:val="00E44F25"/>
    <w:rsid w:val="00E45729"/>
    <w:rsid w:val="00E45DE2"/>
    <w:rsid w:val="00E45EBB"/>
    <w:rsid w:val="00E460E3"/>
    <w:rsid w:val="00E465AA"/>
    <w:rsid w:val="00E46BE3"/>
    <w:rsid w:val="00E46CF7"/>
    <w:rsid w:val="00E471F0"/>
    <w:rsid w:val="00E4735B"/>
    <w:rsid w:val="00E47542"/>
    <w:rsid w:val="00E477B4"/>
    <w:rsid w:val="00E479E2"/>
    <w:rsid w:val="00E47AFF"/>
    <w:rsid w:val="00E47C88"/>
    <w:rsid w:val="00E511F8"/>
    <w:rsid w:val="00E519F5"/>
    <w:rsid w:val="00E51A79"/>
    <w:rsid w:val="00E5207D"/>
    <w:rsid w:val="00E52172"/>
    <w:rsid w:val="00E5232F"/>
    <w:rsid w:val="00E52627"/>
    <w:rsid w:val="00E52F4B"/>
    <w:rsid w:val="00E53113"/>
    <w:rsid w:val="00E535AC"/>
    <w:rsid w:val="00E5380D"/>
    <w:rsid w:val="00E53A0C"/>
    <w:rsid w:val="00E53B81"/>
    <w:rsid w:val="00E541E2"/>
    <w:rsid w:val="00E542FA"/>
    <w:rsid w:val="00E55446"/>
    <w:rsid w:val="00E5579F"/>
    <w:rsid w:val="00E55CAE"/>
    <w:rsid w:val="00E55CC7"/>
    <w:rsid w:val="00E55CFA"/>
    <w:rsid w:val="00E55D3C"/>
    <w:rsid w:val="00E55DCD"/>
    <w:rsid w:val="00E55EA6"/>
    <w:rsid w:val="00E5639B"/>
    <w:rsid w:val="00E565FD"/>
    <w:rsid w:val="00E56BF0"/>
    <w:rsid w:val="00E57FCB"/>
    <w:rsid w:val="00E60080"/>
    <w:rsid w:val="00E60AB9"/>
    <w:rsid w:val="00E60AD7"/>
    <w:rsid w:val="00E61983"/>
    <w:rsid w:val="00E61B49"/>
    <w:rsid w:val="00E61DB6"/>
    <w:rsid w:val="00E61E12"/>
    <w:rsid w:val="00E621A2"/>
    <w:rsid w:val="00E62889"/>
    <w:rsid w:val="00E628C8"/>
    <w:rsid w:val="00E62AA1"/>
    <w:rsid w:val="00E632AC"/>
    <w:rsid w:val="00E638C0"/>
    <w:rsid w:val="00E63936"/>
    <w:rsid w:val="00E63E25"/>
    <w:rsid w:val="00E65513"/>
    <w:rsid w:val="00E656E4"/>
    <w:rsid w:val="00E65F32"/>
    <w:rsid w:val="00E6623E"/>
    <w:rsid w:val="00E66550"/>
    <w:rsid w:val="00E670E7"/>
    <w:rsid w:val="00E6730F"/>
    <w:rsid w:val="00E676C9"/>
    <w:rsid w:val="00E70030"/>
    <w:rsid w:val="00E7038E"/>
    <w:rsid w:val="00E706E9"/>
    <w:rsid w:val="00E70891"/>
    <w:rsid w:val="00E709D3"/>
    <w:rsid w:val="00E71D63"/>
    <w:rsid w:val="00E73877"/>
    <w:rsid w:val="00E7424B"/>
    <w:rsid w:val="00E74457"/>
    <w:rsid w:val="00E7463A"/>
    <w:rsid w:val="00E75B4B"/>
    <w:rsid w:val="00E75B6D"/>
    <w:rsid w:val="00E75FD5"/>
    <w:rsid w:val="00E7686D"/>
    <w:rsid w:val="00E76D01"/>
    <w:rsid w:val="00E77302"/>
    <w:rsid w:val="00E775A5"/>
    <w:rsid w:val="00E77628"/>
    <w:rsid w:val="00E7764D"/>
    <w:rsid w:val="00E7798E"/>
    <w:rsid w:val="00E77C38"/>
    <w:rsid w:val="00E77E21"/>
    <w:rsid w:val="00E77F41"/>
    <w:rsid w:val="00E80F37"/>
    <w:rsid w:val="00E8106F"/>
    <w:rsid w:val="00E81B04"/>
    <w:rsid w:val="00E81BDC"/>
    <w:rsid w:val="00E82236"/>
    <w:rsid w:val="00E8287D"/>
    <w:rsid w:val="00E839FB"/>
    <w:rsid w:val="00E83C02"/>
    <w:rsid w:val="00E84294"/>
    <w:rsid w:val="00E842CD"/>
    <w:rsid w:val="00E848CB"/>
    <w:rsid w:val="00E8491A"/>
    <w:rsid w:val="00E8495F"/>
    <w:rsid w:val="00E84C01"/>
    <w:rsid w:val="00E84CC7"/>
    <w:rsid w:val="00E84D8F"/>
    <w:rsid w:val="00E84F06"/>
    <w:rsid w:val="00E85364"/>
    <w:rsid w:val="00E85702"/>
    <w:rsid w:val="00E859CB"/>
    <w:rsid w:val="00E8638C"/>
    <w:rsid w:val="00E8638D"/>
    <w:rsid w:val="00E86571"/>
    <w:rsid w:val="00E867D4"/>
    <w:rsid w:val="00E86D92"/>
    <w:rsid w:val="00E8772F"/>
    <w:rsid w:val="00E8779E"/>
    <w:rsid w:val="00E87BCE"/>
    <w:rsid w:val="00E87C77"/>
    <w:rsid w:val="00E9042A"/>
    <w:rsid w:val="00E9055B"/>
    <w:rsid w:val="00E90624"/>
    <w:rsid w:val="00E9066B"/>
    <w:rsid w:val="00E90719"/>
    <w:rsid w:val="00E90FB1"/>
    <w:rsid w:val="00E90FE0"/>
    <w:rsid w:val="00E92108"/>
    <w:rsid w:val="00E9234E"/>
    <w:rsid w:val="00E92813"/>
    <w:rsid w:val="00E9347C"/>
    <w:rsid w:val="00E93490"/>
    <w:rsid w:val="00E93846"/>
    <w:rsid w:val="00E93B2B"/>
    <w:rsid w:val="00E94A43"/>
    <w:rsid w:val="00E94AEB"/>
    <w:rsid w:val="00E950B5"/>
    <w:rsid w:val="00E95157"/>
    <w:rsid w:val="00E95C6D"/>
    <w:rsid w:val="00E95D6D"/>
    <w:rsid w:val="00E96B62"/>
    <w:rsid w:val="00E96F42"/>
    <w:rsid w:val="00E9705E"/>
    <w:rsid w:val="00E97096"/>
    <w:rsid w:val="00E97570"/>
    <w:rsid w:val="00E979FE"/>
    <w:rsid w:val="00E97E79"/>
    <w:rsid w:val="00EA0932"/>
    <w:rsid w:val="00EA09C6"/>
    <w:rsid w:val="00EA158F"/>
    <w:rsid w:val="00EA1BF7"/>
    <w:rsid w:val="00EA226E"/>
    <w:rsid w:val="00EA31DC"/>
    <w:rsid w:val="00EA3B31"/>
    <w:rsid w:val="00EA4327"/>
    <w:rsid w:val="00EA43F8"/>
    <w:rsid w:val="00EA4512"/>
    <w:rsid w:val="00EA47DC"/>
    <w:rsid w:val="00EA4A37"/>
    <w:rsid w:val="00EA5267"/>
    <w:rsid w:val="00EA52DC"/>
    <w:rsid w:val="00EA6151"/>
    <w:rsid w:val="00EA61BA"/>
    <w:rsid w:val="00EA626B"/>
    <w:rsid w:val="00EA6669"/>
    <w:rsid w:val="00EA6997"/>
    <w:rsid w:val="00EA69C2"/>
    <w:rsid w:val="00EA6E26"/>
    <w:rsid w:val="00EA6FB4"/>
    <w:rsid w:val="00EA7306"/>
    <w:rsid w:val="00EA7483"/>
    <w:rsid w:val="00EA74E7"/>
    <w:rsid w:val="00EA7881"/>
    <w:rsid w:val="00EA7CE9"/>
    <w:rsid w:val="00EB084F"/>
    <w:rsid w:val="00EB088A"/>
    <w:rsid w:val="00EB088F"/>
    <w:rsid w:val="00EB142B"/>
    <w:rsid w:val="00EB14DB"/>
    <w:rsid w:val="00EB14DE"/>
    <w:rsid w:val="00EB1826"/>
    <w:rsid w:val="00EB1A38"/>
    <w:rsid w:val="00EB21E5"/>
    <w:rsid w:val="00EB24FA"/>
    <w:rsid w:val="00EB27BF"/>
    <w:rsid w:val="00EB2CF2"/>
    <w:rsid w:val="00EB2F0A"/>
    <w:rsid w:val="00EB352E"/>
    <w:rsid w:val="00EB355A"/>
    <w:rsid w:val="00EB364C"/>
    <w:rsid w:val="00EB3A6F"/>
    <w:rsid w:val="00EB3D59"/>
    <w:rsid w:val="00EB3EDF"/>
    <w:rsid w:val="00EB3F2A"/>
    <w:rsid w:val="00EB43DE"/>
    <w:rsid w:val="00EB4A35"/>
    <w:rsid w:val="00EB4F2B"/>
    <w:rsid w:val="00EB5618"/>
    <w:rsid w:val="00EB56E3"/>
    <w:rsid w:val="00EB5727"/>
    <w:rsid w:val="00EB6098"/>
    <w:rsid w:val="00EB6187"/>
    <w:rsid w:val="00EB6223"/>
    <w:rsid w:val="00EB6E01"/>
    <w:rsid w:val="00EB6FA5"/>
    <w:rsid w:val="00EB7327"/>
    <w:rsid w:val="00EB77E7"/>
    <w:rsid w:val="00EB7988"/>
    <w:rsid w:val="00EB7A2C"/>
    <w:rsid w:val="00EB7EF7"/>
    <w:rsid w:val="00EC0065"/>
    <w:rsid w:val="00EC0352"/>
    <w:rsid w:val="00EC0739"/>
    <w:rsid w:val="00EC0AD1"/>
    <w:rsid w:val="00EC0AFE"/>
    <w:rsid w:val="00EC1283"/>
    <w:rsid w:val="00EC1680"/>
    <w:rsid w:val="00EC1B96"/>
    <w:rsid w:val="00EC1E25"/>
    <w:rsid w:val="00EC297A"/>
    <w:rsid w:val="00EC29ED"/>
    <w:rsid w:val="00EC2ADF"/>
    <w:rsid w:val="00EC2CC9"/>
    <w:rsid w:val="00EC30F5"/>
    <w:rsid w:val="00EC396B"/>
    <w:rsid w:val="00EC3F1A"/>
    <w:rsid w:val="00EC405F"/>
    <w:rsid w:val="00EC40B6"/>
    <w:rsid w:val="00EC4112"/>
    <w:rsid w:val="00EC422A"/>
    <w:rsid w:val="00EC5196"/>
    <w:rsid w:val="00EC565E"/>
    <w:rsid w:val="00EC5978"/>
    <w:rsid w:val="00EC5B0C"/>
    <w:rsid w:val="00EC5FD1"/>
    <w:rsid w:val="00EC6328"/>
    <w:rsid w:val="00EC7F79"/>
    <w:rsid w:val="00EC7FB3"/>
    <w:rsid w:val="00ED0509"/>
    <w:rsid w:val="00ED05BE"/>
    <w:rsid w:val="00ED0A14"/>
    <w:rsid w:val="00ED158A"/>
    <w:rsid w:val="00ED1C74"/>
    <w:rsid w:val="00ED1EC1"/>
    <w:rsid w:val="00ED21DE"/>
    <w:rsid w:val="00ED2A14"/>
    <w:rsid w:val="00ED2ABC"/>
    <w:rsid w:val="00ED2C8F"/>
    <w:rsid w:val="00ED2DF5"/>
    <w:rsid w:val="00ED37A5"/>
    <w:rsid w:val="00ED3966"/>
    <w:rsid w:val="00ED4309"/>
    <w:rsid w:val="00ED4490"/>
    <w:rsid w:val="00ED459D"/>
    <w:rsid w:val="00ED4928"/>
    <w:rsid w:val="00ED4C1A"/>
    <w:rsid w:val="00ED4E8F"/>
    <w:rsid w:val="00ED51A1"/>
    <w:rsid w:val="00ED546F"/>
    <w:rsid w:val="00ED5ACB"/>
    <w:rsid w:val="00ED5BF0"/>
    <w:rsid w:val="00ED62A8"/>
    <w:rsid w:val="00ED64FA"/>
    <w:rsid w:val="00ED6672"/>
    <w:rsid w:val="00ED676E"/>
    <w:rsid w:val="00ED6925"/>
    <w:rsid w:val="00ED6A8C"/>
    <w:rsid w:val="00ED6DF4"/>
    <w:rsid w:val="00ED74B8"/>
    <w:rsid w:val="00EE0235"/>
    <w:rsid w:val="00EE13AB"/>
    <w:rsid w:val="00EE15E7"/>
    <w:rsid w:val="00EE1A0A"/>
    <w:rsid w:val="00EE1B67"/>
    <w:rsid w:val="00EE1E00"/>
    <w:rsid w:val="00EE206B"/>
    <w:rsid w:val="00EE3251"/>
    <w:rsid w:val="00EE32CE"/>
    <w:rsid w:val="00EE3305"/>
    <w:rsid w:val="00EE3C5C"/>
    <w:rsid w:val="00EE3E0E"/>
    <w:rsid w:val="00EE3F06"/>
    <w:rsid w:val="00EE40E4"/>
    <w:rsid w:val="00EE4995"/>
    <w:rsid w:val="00EE49F7"/>
    <w:rsid w:val="00EE4A31"/>
    <w:rsid w:val="00EE4E43"/>
    <w:rsid w:val="00EE4EB8"/>
    <w:rsid w:val="00EE50AC"/>
    <w:rsid w:val="00EE5653"/>
    <w:rsid w:val="00EE5887"/>
    <w:rsid w:val="00EE5A5F"/>
    <w:rsid w:val="00EE5DE5"/>
    <w:rsid w:val="00EE67EC"/>
    <w:rsid w:val="00EE6A72"/>
    <w:rsid w:val="00EE6CB3"/>
    <w:rsid w:val="00EE7341"/>
    <w:rsid w:val="00EE73E3"/>
    <w:rsid w:val="00EE7B73"/>
    <w:rsid w:val="00EE7BAA"/>
    <w:rsid w:val="00EE7CE3"/>
    <w:rsid w:val="00EF0192"/>
    <w:rsid w:val="00EF02E5"/>
    <w:rsid w:val="00EF0510"/>
    <w:rsid w:val="00EF0535"/>
    <w:rsid w:val="00EF101B"/>
    <w:rsid w:val="00EF13A6"/>
    <w:rsid w:val="00EF1530"/>
    <w:rsid w:val="00EF1D5C"/>
    <w:rsid w:val="00EF2503"/>
    <w:rsid w:val="00EF3160"/>
    <w:rsid w:val="00EF3732"/>
    <w:rsid w:val="00EF37E7"/>
    <w:rsid w:val="00EF399A"/>
    <w:rsid w:val="00EF3C3B"/>
    <w:rsid w:val="00EF3E54"/>
    <w:rsid w:val="00EF43AA"/>
    <w:rsid w:val="00EF4508"/>
    <w:rsid w:val="00EF5155"/>
    <w:rsid w:val="00EF5800"/>
    <w:rsid w:val="00EF580A"/>
    <w:rsid w:val="00EF5D93"/>
    <w:rsid w:val="00EF61C5"/>
    <w:rsid w:val="00EF661D"/>
    <w:rsid w:val="00EF6974"/>
    <w:rsid w:val="00EF6CEB"/>
    <w:rsid w:val="00EF72B3"/>
    <w:rsid w:val="00EF7809"/>
    <w:rsid w:val="00EF7D76"/>
    <w:rsid w:val="00F00548"/>
    <w:rsid w:val="00F0073F"/>
    <w:rsid w:val="00F017DF"/>
    <w:rsid w:val="00F01F10"/>
    <w:rsid w:val="00F02111"/>
    <w:rsid w:val="00F0214D"/>
    <w:rsid w:val="00F0252F"/>
    <w:rsid w:val="00F026A6"/>
    <w:rsid w:val="00F02A1C"/>
    <w:rsid w:val="00F02C21"/>
    <w:rsid w:val="00F0343C"/>
    <w:rsid w:val="00F036C5"/>
    <w:rsid w:val="00F041CE"/>
    <w:rsid w:val="00F04262"/>
    <w:rsid w:val="00F04663"/>
    <w:rsid w:val="00F046C9"/>
    <w:rsid w:val="00F047B3"/>
    <w:rsid w:val="00F04C04"/>
    <w:rsid w:val="00F050A6"/>
    <w:rsid w:val="00F053FE"/>
    <w:rsid w:val="00F056F4"/>
    <w:rsid w:val="00F05A44"/>
    <w:rsid w:val="00F05C95"/>
    <w:rsid w:val="00F05CEB"/>
    <w:rsid w:val="00F05D5D"/>
    <w:rsid w:val="00F06538"/>
    <w:rsid w:val="00F0683D"/>
    <w:rsid w:val="00F06ADE"/>
    <w:rsid w:val="00F0754E"/>
    <w:rsid w:val="00F0758E"/>
    <w:rsid w:val="00F07889"/>
    <w:rsid w:val="00F10438"/>
    <w:rsid w:val="00F11300"/>
    <w:rsid w:val="00F11B49"/>
    <w:rsid w:val="00F12983"/>
    <w:rsid w:val="00F12ACD"/>
    <w:rsid w:val="00F12D09"/>
    <w:rsid w:val="00F12F8E"/>
    <w:rsid w:val="00F13027"/>
    <w:rsid w:val="00F13389"/>
    <w:rsid w:val="00F1391F"/>
    <w:rsid w:val="00F13DAC"/>
    <w:rsid w:val="00F13E4A"/>
    <w:rsid w:val="00F14111"/>
    <w:rsid w:val="00F141C6"/>
    <w:rsid w:val="00F146B3"/>
    <w:rsid w:val="00F1538F"/>
    <w:rsid w:val="00F15D6E"/>
    <w:rsid w:val="00F15FAC"/>
    <w:rsid w:val="00F16548"/>
    <w:rsid w:val="00F168D5"/>
    <w:rsid w:val="00F16A65"/>
    <w:rsid w:val="00F16F21"/>
    <w:rsid w:val="00F17400"/>
    <w:rsid w:val="00F17405"/>
    <w:rsid w:val="00F17E34"/>
    <w:rsid w:val="00F17EAD"/>
    <w:rsid w:val="00F17FF5"/>
    <w:rsid w:val="00F2017C"/>
    <w:rsid w:val="00F2073E"/>
    <w:rsid w:val="00F20768"/>
    <w:rsid w:val="00F209E0"/>
    <w:rsid w:val="00F20F7E"/>
    <w:rsid w:val="00F21405"/>
    <w:rsid w:val="00F219B6"/>
    <w:rsid w:val="00F21B0F"/>
    <w:rsid w:val="00F22343"/>
    <w:rsid w:val="00F2261C"/>
    <w:rsid w:val="00F23086"/>
    <w:rsid w:val="00F237D2"/>
    <w:rsid w:val="00F24B07"/>
    <w:rsid w:val="00F2597C"/>
    <w:rsid w:val="00F25BF4"/>
    <w:rsid w:val="00F25F38"/>
    <w:rsid w:val="00F26493"/>
    <w:rsid w:val="00F26C1F"/>
    <w:rsid w:val="00F26E8C"/>
    <w:rsid w:val="00F27185"/>
    <w:rsid w:val="00F2742D"/>
    <w:rsid w:val="00F27A3A"/>
    <w:rsid w:val="00F3048D"/>
    <w:rsid w:val="00F305FE"/>
    <w:rsid w:val="00F30684"/>
    <w:rsid w:val="00F30ED7"/>
    <w:rsid w:val="00F31029"/>
    <w:rsid w:val="00F310B4"/>
    <w:rsid w:val="00F310C4"/>
    <w:rsid w:val="00F315BD"/>
    <w:rsid w:val="00F31B5A"/>
    <w:rsid w:val="00F32595"/>
    <w:rsid w:val="00F325A4"/>
    <w:rsid w:val="00F32632"/>
    <w:rsid w:val="00F32781"/>
    <w:rsid w:val="00F32892"/>
    <w:rsid w:val="00F32A3C"/>
    <w:rsid w:val="00F332CF"/>
    <w:rsid w:val="00F334D9"/>
    <w:rsid w:val="00F33576"/>
    <w:rsid w:val="00F3367E"/>
    <w:rsid w:val="00F34101"/>
    <w:rsid w:val="00F3458C"/>
    <w:rsid w:val="00F345E2"/>
    <w:rsid w:val="00F34A5C"/>
    <w:rsid w:val="00F34B66"/>
    <w:rsid w:val="00F35759"/>
    <w:rsid w:val="00F35A58"/>
    <w:rsid w:val="00F35C3E"/>
    <w:rsid w:val="00F35CB5"/>
    <w:rsid w:val="00F35DD7"/>
    <w:rsid w:val="00F36181"/>
    <w:rsid w:val="00F3631D"/>
    <w:rsid w:val="00F363AD"/>
    <w:rsid w:val="00F36BD6"/>
    <w:rsid w:val="00F36E73"/>
    <w:rsid w:val="00F36F99"/>
    <w:rsid w:val="00F37147"/>
    <w:rsid w:val="00F37353"/>
    <w:rsid w:val="00F37F99"/>
    <w:rsid w:val="00F37FB3"/>
    <w:rsid w:val="00F40191"/>
    <w:rsid w:val="00F404C4"/>
    <w:rsid w:val="00F40684"/>
    <w:rsid w:val="00F4072C"/>
    <w:rsid w:val="00F40AEC"/>
    <w:rsid w:val="00F40B1A"/>
    <w:rsid w:val="00F414F1"/>
    <w:rsid w:val="00F41987"/>
    <w:rsid w:val="00F41FFA"/>
    <w:rsid w:val="00F4209A"/>
    <w:rsid w:val="00F424E0"/>
    <w:rsid w:val="00F42C2D"/>
    <w:rsid w:val="00F42E94"/>
    <w:rsid w:val="00F430C0"/>
    <w:rsid w:val="00F43200"/>
    <w:rsid w:val="00F43844"/>
    <w:rsid w:val="00F441BF"/>
    <w:rsid w:val="00F445A5"/>
    <w:rsid w:val="00F446CF"/>
    <w:rsid w:val="00F44C8A"/>
    <w:rsid w:val="00F44E8E"/>
    <w:rsid w:val="00F44FB7"/>
    <w:rsid w:val="00F45EE9"/>
    <w:rsid w:val="00F4645F"/>
    <w:rsid w:val="00F4690C"/>
    <w:rsid w:val="00F46AB8"/>
    <w:rsid w:val="00F46FF4"/>
    <w:rsid w:val="00F4721D"/>
    <w:rsid w:val="00F47BA2"/>
    <w:rsid w:val="00F47D11"/>
    <w:rsid w:val="00F50112"/>
    <w:rsid w:val="00F5052A"/>
    <w:rsid w:val="00F5099A"/>
    <w:rsid w:val="00F509EB"/>
    <w:rsid w:val="00F511A4"/>
    <w:rsid w:val="00F5161B"/>
    <w:rsid w:val="00F51C29"/>
    <w:rsid w:val="00F51C35"/>
    <w:rsid w:val="00F51D21"/>
    <w:rsid w:val="00F52900"/>
    <w:rsid w:val="00F52CC8"/>
    <w:rsid w:val="00F52D6F"/>
    <w:rsid w:val="00F53000"/>
    <w:rsid w:val="00F532B6"/>
    <w:rsid w:val="00F545DB"/>
    <w:rsid w:val="00F54AB4"/>
    <w:rsid w:val="00F54B84"/>
    <w:rsid w:val="00F5652A"/>
    <w:rsid w:val="00F56BF0"/>
    <w:rsid w:val="00F56DB3"/>
    <w:rsid w:val="00F56DB8"/>
    <w:rsid w:val="00F57EF8"/>
    <w:rsid w:val="00F60124"/>
    <w:rsid w:val="00F60186"/>
    <w:rsid w:val="00F601F2"/>
    <w:rsid w:val="00F6068A"/>
    <w:rsid w:val="00F60722"/>
    <w:rsid w:val="00F60B4F"/>
    <w:rsid w:val="00F60BC0"/>
    <w:rsid w:val="00F61879"/>
    <w:rsid w:val="00F61A61"/>
    <w:rsid w:val="00F62249"/>
    <w:rsid w:val="00F622D4"/>
    <w:rsid w:val="00F62780"/>
    <w:rsid w:val="00F62AC3"/>
    <w:rsid w:val="00F62BAE"/>
    <w:rsid w:val="00F632BC"/>
    <w:rsid w:val="00F63911"/>
    <w:rsid w:val="00F63B3B"/>
    <w:rsid w:val="00F64835"/>
    <w:rsid w:val="00F65116"/>
    <w:rsid w:val="00F654A9"/>
    <w:rsid w:val="00F655A8"/>
    <w:rsid w:val="00F65687"/>
    <w:rsid w:val="00F6578E"/>
    <w:rsid w:val="00F657E8"/>
    <w:rsid w:val="00F65C8B"/>
    <w:rsid w:val="00F65EA0"/>
    <w:rsid w:val="00F66066"/>
    <w:rsid w:val="00F66181"/>
    <w:rsid w:val="00F66483"/>
    <w:rsid w:val="00F66622"/>
    <w:rsid w:val="00F667B0"/>
    <w:rsid w:val="00F668B8"/>
    <w:rsid w:val="00F66ECA"/>
    <w:rsid w:val="00F6711D"/>
    <w:rsid w:val="00F67AFC"/>
    <w:rsid w:val="00F67C8B"/>
    <w:rsid w:val="00F67F16"/>
    <w:rsid w:val="00F708B7"/>
    <w:rsid w:val="00F70DB4"/>
    <w:rsid w:val="00F71A35"/>
    <w:rsid w:val="00F71B0B"/>
    <w:rsid w:val="00F72021"/>
    <w:rsid w:val="00F7217D"/>
    <w:rsid w:val="00F723BA"/>
    <w:rsid w:val="00F7251D"/>
    <w:rsid w:val="00F72629"/>
    <w:rsid w:val="00F72B0D"/>
    <w:rsid w:val="00F732A1"/>
    <w:rsid w:val="00F733E3"/>
    <w:rsid w:val="00F73BEB"/>
    <w:rsid w:val="00F742E5"/>
    <w:rsid w:val="00F74C81"/>
    <w:rsid w:val="00F7525A"/>
    <w:rsid w:val="00F75559"/>
    <w:rsid w:val="00F75747"/>
    <w:rsid w:val="00F75B28"/>
    <w:rsid w:val="00F7687B"/>
    <w:rsid w:val="00F76A68"/>
    <w:rsid w:val="00F76DC9"/>
    <w:rsid w:val="00F76E14"/>
    <w:rsid w:val="00F76E53"/>
    <w:rsid w:val="00F76E93"/>
    <w:rsid w:val="00F76E98"/>
    <w:rsid w:val="00F77239"/>
    <w:rsid w:val="00F77735"/>
    <w:rsid w:val="00F77968"/>
    <w:rsid w:val="00F77C60"/>
    <w:rsid w:val="00F77D7E"/>
    <w:rsid w:val="00F80C5C"/>
    <w:rsid w:val="00F812E4"/>
    <w:rsid w:val="00F81494"/>
    <w:rsid w:val="00F81556"/>
    <w:rsid w:val="00F816B3"/>
    <w:rsid w:val="00F81A85"/>
    <w:rsid w:val="00F825B8"/>
    <w:rsid w:val="00F82D49"/>
    <w:rsid w:val="00F82F84"/>
    <w:rsid w:val="00F834EC"/>
    <w:rsid w:val="00F83618"/>
    <w:rsid w:val="00F8386B"/>
    <w:rsid w:val="00F83BE7"/>
    <w:rsid w:val="00F83D9B"/>
    <w:rsid w:val="00F84231"/>
    <w:rsid w:val="00F84331"/>
    <w:rsid w:val="00F84732"/>
    <w:rsid w:val="00F85484"/>
    <w:rsid w:val="00F86DF7"/>
    <w:rsid w:val="00F86FC1"/>
    <w:rsid w:val="00F871A7"/>
    <w:rsid w:val="00F87428"/>
    <w:rsid w:val="00F87BF6"/>
    <w:rsid w:val="00F87DA6"/>
    <w:rsid w:val="00F9008E"/>
    <w:rsid w:val="00F9014C"/>
    <w:rsid w:val="00F90172"/>
    <w:rsid w:val="00F9054B"/>
    <w:rsid w:val="00F90931"/>
    <w:rsid w:val="00F90F17"/>
    <w:rsid w:val="00F91945"/>
    <w:rsid w:val="00F91ABE"/>
    <w:rsid w:val="00F91B95"/>
    <w:rsid w:val="00F91C29"/>
    <w:rsid w:val="00F91D9B"/>
    <w:rsid w:val="00F92095"/>
    <w:rsid w:val="00F92475"/>
    <w:rsid w:val="00F92564"/>
    <w:rsid w:val="00F92B85"/>
    <w:rsid w:val="00F92E9E"/>
    <w:rsid w:val="00F9320D"/>
    <w:rsid w:val="00F94681"/>
    <w:rsid w:val="00F948FC"/>
    <w:rsid w:val="00F94E51"/>
    <w:rsid w:val="00F9562F"/>
    <w:rsid w:val="00F95C1F"/>
    <w:rsid w:val="00F966CF"/>
    <w:rsid w:val="00F9673C"/>
    <w:rsid w:val="00F96867"/>
    <w:rsid w:val="00F969EC"/>
    <w:rsid w:val="00F97897"/>
    <w:rsid w:val="00F97E0D"/>
    <w:rsid w:val="00FA0A01"/>
    <w:rsid w:val="00FA17D0"/>
    <w:rsid w:val="00FA1A2B"/>
    <w:rsid w:val="00FA2054"/>
    <w:rsid w:val="00FA2BDD"/>
    <w:rsid w:val="00FA3397"/>
    <w:rsid w:val="00FA36A2"/>
    <w:rsid w:val="00FA36F1"/>
    <w:rsid w:val="00FA3823"/>
    <w:rsid w:val="00FA3A7F"/>
    <w:rsid w:val="00FA3CCD"/>
    <w:rsid w:val="00FA3FA8"/>
    <w:rsid w:val="00FA4574"/>
    <w:rsid w:val="00FA4614"/>
    <w:rsid w:val="00FA4A83"/>
    <w:rsid w:val="00FA4BCD"/>
    <w:rsid w:val="00FA4DEE"/>
    <w:rsid w:val="00FA548B"/>
    <w:rsid w:val="00FA5D26"/>
    <w:rsid w:val="00FA66B6"/>
    <w:rsid w:val="00FA66E8"/>
    <w:rsid w:val="00FA67F1"/>
    <w:rsid w:val="00FA6A46"/>
    <w:rsid w:val="00FA72C6"/>
    <w:rsid w:val="00FA73A9"/>
    <w:rsid w:val="00FA754B"/>
    <w:rsid w:val="00FA775E"/>
    <w:rsid w:val="00FA7DAE"/>
    <w:rsid w:val="00FA7DD1"/>
    <w:rsid w:val="00FB00AC"/>
    <w:rsid w:val="00FB0954"/>
    <w:rsid w:val="00FB09EA"/>
    <w:rsid w:val="00FB0FD2"/>
    <w:rsid w:val="00FB1915"/>
    <w:rsid w:val="00FB2270"/>
    <w:rsid w:val="00FB2520"/>
    <w:rsid w:val="00FB2E03"/>
    <w:rsid w:val="00FB334A"/>
    <w:rsid w:val="00FB365B"/>
    <w:rsid w:val="00FB37BF"/>
    <w:rsid w:val="00FB3A23"/>
    <w:rsid w:val="00FB4297"/>
    <w:rsid w:val="00FB483F"/>
    <w:rsid w:val="00FB5438"/>
    <w:rsid w:val="00FB63A1"/>
    <w:rsid w:val="00FB647E"/>
    <w:rsid w:val="00FB7132"/>
    <w:rsid w:val="00FB728B"/>
    <w:rsid w:val="00FB73A9"/>
    <w:rsid w:val="00FB74BA"/>
    <w:rsid w:val="00FB761E"/>
    <w:rsid w:val="00FC00FE"/>
    <w:rsid w:val="00FC09CC"/>
    <w:rsid w:val="00FC0D80"/>
    <w:rsid w:val="00FC1178"/>
    <w:rsid w:val="00FC1231"/>
    <w:rsid w:val="00FC131F"/>
    <w:rsid w:val="00FC18A7"/>
    <w:rsid w:val="00FC1C51"/>
    <w:rsid w:val="00FC1CD2"/>
    <w:rsid w:val="00FC1E42"/>
    <w:rsid w:val="00FC2306"/>
    <w:rsid w:val="00FC28A0"/>
    <w:rsid w:val="00FC349C"/>
    <w:rsid w:val="00FC350A"/>
    <w:rsid w:val="00FC3797"/>
    <w:rsid w:val="00FC3AE6"/>
    <w:rsid w:val="00FC3B23"/>
    <w:rsid w:val="00FC3CA1"/>
    <w:rsid w:val="00FC4522"/>
    <w:rsid w:val="00FC45D0"/>
    <w:rsid w:val="00FC46A3"/>
    <w:rsid w:val="00FC4846"/>
    <w:rsid w:val="00FC4923"/>
    <w:rsid w:val="00FC4ADD"/>
    <w:rsid w:val="00FC4ADF"/>
    <w:rsid w:val="00FC4D13"/>
    <w:rsid w:val="00FC4E38"/>
    <w:rsid w:val="00FC50B1"/>
    <w:rsid w:val="00FC5894"/>
    <w:rsid w:val="00FC5AE1"/>
    <w:rsid w:val="00FC5B8D"/>
    <w:rsid w:val="00FC5C70"/>
    <w:rsid w:val="00FC5CD6"/>
    <w:rsid w:val="00FC5CD8"/>
    <w:rsid w:val="00FC5DE3"/>
    <w:rsid w:val="00FC67E5"/>
    <w:rsid w:val="00FC6D7F"/>
    <w:rsid w:val="00FC6DD7"/>
    <w:rsid w:val="00FC6F19"/>
    <w:rsid w:val="00FC7130"/>
    <w:rsid w:val="00FC74B0"/>
    <w:rsid w:val="00FC7C29"/>
    <w:rsid w:val="00FD0127"/>
    <w:rsid w:val="00FD0173"/>
    <w:rsid w:val="00FD0234"/>
    <w:rsid w:val="00FD02FD"/>
    <w:rsid w:val="00FD0A2D"/>
    <w:rsid w:val="00FD0E84"/>
    <w:rsid w:val="00FD120E"/>
    <w:rsid w:val="00FD2033"/>
    <w:rsid w:val="00FD28F8"/>
    <w:rsid w:val="00FD404F"/>
    <w:rsid w:val="00FD43A9"/>
    <w:rsid w:val="00FD4B80"/>
    <w:rsid w:val="00FD4C1F"/>
    <w:rsid w:val="00FD5308"/>
    <w:rsid w:val="00FD54C7"/>
    <w:rsid w:val="00FD5996"/>
    <w:rsid w:val="00FD5C43"/>
    <w:rsid w:val="00FD5D3F"/>
    <w:rsid w:val="00FD66C4"/>
    <w:rsid w:val="00FD6C71"/>
    <w:rsid w:val="00FD706C"/>
    <w:rsid w:val="00FD711C"/>
    <w:rsid w:val="00FD72D3"/>
    <w:rsid w:val="00FD771D"/>
    <w:rsid w:val="00FD775D"/>
    <w:rsid w:val="00FD7918"/>
    <w:rsid w:val="00FD7B10"/>
    <w:rsid w:val="00FD7CE6"/>
    <w:rsid w:val="00FD7E07"/>
    <w:rsid w:val="00FD7ED1"/>
    <w:rsid w:val="00FD7F3F"/>
    <w:rsid w:val="00FE172D"/>
    <w:rsid w:val="00FE2260"/>
    <w:rsid w:val="00FE2B41"/>
    <w:rsid w:val="00FE2B66"/>
    <w:rsid w:val="00FE305B"/>
    <w:rsid w:val="00FE3377"/>
    <w:rsid w:val="00FE36B4"/>
    <w:rsid w:val="00FE3C9D"/>
    <w:rsid w:val="00FE3F64"/>
    <w:rsid w:val="00FE4D9F"/>
    <w:rsid w:val="00FE4F0D"/>
    <w:rsid w:val="00FE5B16"/>
    <w:rsid w:val="00FE607B"/>
    <w:rsid w:val="00FE6182"/>
    <w:rsid w:val="00FE6991"/>
    <w:rsid w:val="00FE7255"/>
    <w:rsid w:val="00FE7711"/>
    <w:rsid w:val="00FE7864"/>
    <w:rsid w:val="00FE7A48"/>
    <w:rsid w:val="00FF0050"/>
    <w:rsid w:val="00FF0086"/>
    <w:rsid w:val="00FF0736"/>
    <w:rsid w:val="00FF09C9"/>
    <w:rsid w:val="00FF0DED"/>
    <w:rsid w:val="00FF0F38"/>
    <w:rsid w:val="00FF1030"/>
    <w:rsid w:val="00FF11EE"/>
    <w:rsid w:val="00FF1FAB"/>
    <w:rsid w:val="00FF2133"/>
    <w:rsid w:val="00FF23C2"/>
    <w:rsid w:val="00FF295D"/>
    <w:rsid w:val="00FF2A63"/>
    <w:rsid w:val="00FF2B68"/>
    <w:rsid w:val="00FF2C26"/>
    <w:rsid w:val="00FF2D4E"/>
    <w:rsid w:val="00FF3348"/>
    <w:rsid w:val="00FF38D4"/>
    <w:rsid w:val="00FF3946"/>
    <w:rsid w:val="00FF3DE6"/>
    <w:rsid w:val="00FF4CB7"/>
    <w:rsid w:val="00FF4E7E"/>
    <w:rsid w:val="00FF5CEE"/>
    <w:rsid w:val="00FF62D7"/>
    <w:rsid w:val="00FF6948"/>
    <w:rsid w:val="00FF6D7B"/>
    <w:rsid w:val="00FF6ED2"/>
    <w:rsid w:val="00FF718C"/>
    <w:rsid w:val="00FF73E5"/>
    <w:rsid w:val="00FF77DC"/>
    <w:rsid w:val="00FF7C13"/>
    <w:rsid w:val="00FF7CAE"/>
    <w:rsid w:val="016B1141"/>
    <w:rsid w:val="017B569D"/>
    <w:rsid w:val="01D00C17"/>
    <w:rsid w:val="01F35441"/>
    <w:rsid w:val="02891497"/>
    <w:rsid w:val="02C24C83"/>
    <w:rsid w:val="02FE6C09"/>
    <w:rsid w:val="03104FF4"/>
    <w:rsid w:val="038E134E"/>
    <w:rsid w:val="03F04E05"/>
    <w:rsid w:val="042070BD"/>
    <w:rsid w:val="04276E78"/>
    <w:rsid w:val="04A55C57"/>
    <w:rsid w:val="04B15D38"/>
    <w:rsid w:val="05B46130"/>
    <w:rsid w:val="05D34212"/>
    <w:rsid w:val="065A02D2"/>
    <w:rsid w:val="066178E8"/>
    <w:rsid w:val="070E2C73"/>
    <w:rsid w:val="07420103"/>
    <w:rsid w:val="078E0B6F"/>
    <w:rsid w:val="07A1540E"/>
    <w:rsid w:val="088C5640"/>
    <w:rsid w:val="08942FFD"/>
    <w:rsid w:val="08C97E04"/>
    <w:rsid w:val="09277251"/>
    <w:rsid w:val="0933123C"/>
    <w:rsid w:val="09612F13"/>
    <w:rsid w:val="0A793B4D"/>
    <w:rsid w:val="0AD11ECB"/>
    <w:rsid w:val="0AFA6591"/>
    <w:rsid w:val="0B0C31E6"/>
    <w:rsid w:val="0B672D35"/>
    <w:rsid w:val="0B717C77"/>
    <w:rsid w:val="0B997E74"/>
    <w:rsid w:val="0BDE1B69"/>
    <w:rsid w:val="0BE348D1"/>
    <w:rsid w:val="0C1436B0"/>
    <w:rsid w:val="0C6F0DFE"/>
    <w:rsid w:val="0CAD68F9"/>
    <w:rsid w:val="0D132F2F"/>
    <w:rsid w:val="0D1624C5"/>
    <w:rsid w:val="0D396755"/>
    <w:rsid w:val="0D612203"/>
    <w:rsid w:val="0D6949DD"/>
    <w:rsid w:val="0D9D6AF5"/>
    <w:rsid w:val="0DAD4881"/>
    <w:rsid w:val="0E316849"/>
    <w:rsid w:val="0E855775"/>
    <w:rsid w:val="0EB811D7"/>
    <w:rsid w:val="0F046A49"/>
    <w:rsid w:val="0F345661"/>
    <w:rsid w:val="0F43106C"/>
    <w:rsid w:val="0F6A6D2B"/>
    <w:rsid w:val="0FC85D62"/>
    <w:rsid w:val="10673F78"/>
    <w:rsid w:val="10984392"/>
    <w:rsid w:val="10F36B9B"/>
    <w:rsid w:val="11370240"/>
    <w:rsid w:val="11563F38"/>
    <w:rsid w:val="1157668D"/>
    <w:rsid w:val="11931CCD"/>
    <w:rsid w:val="11A45B20"/>
    <w:rsid w:val="1282606E"/>
    <w:rsid w:val="12E37A40"/>
    <w:rsid w:val="12E5305F"/>
    <w:rsid w:val="13137DEE"/>
    <w:rsid w:val="13483AB2"/>
    <w:rsid w:val="134C6571"/>
    <w:rsid w:val="136410CA"/>
    <w:rsid w:val="13766074"/>
    <w:rsid w:val="13AC5423"/>
    <w:rsid w:val="13CB11D5"/>
    <w:rsid w:val="13E630AD"/>
    <w:rsid w:val="14036E93"/>
    <w:rsid w:val="140923FC"/>
    <w:rsid w:val="141476FE"/>
    <w:rsid w:val="14407171"/>
    <w:rsid w:val="148218FE"/>
    <w:rsid w:val="14BD4042"/>
    <w:rsid w:val="15E04D1D"/>
    <w:rsid w:val="16502B86"/>
    <w:rsid w:val="169C219E"/>
    <w:rsid w:val="16B11A9E"/>
    <w:rsid w:val="173A7902"/>
    <w:rsid w:val="17446A38"/>
    <w:rsid w:val="17494FB8"/>
    <w:rsid w:val="174C3A48"/>
    <w:rsid w:val="1756506A"/>
    <w:rsid w:val="176B459A"/>
    <w:rsid w:val="178349DE"/>
    <w:rsid w:val="17D345EA"/>
    <w:rsid w:val="18474B5B"/>
    <w:rsid w:val="184C1051"/>
    <w:rsid w:val="1876442F"/>
    <w:rsid w:val="187D73BE"/>
    <w:rsid w:val="18EC5490"/>
    <w:rsid w:val="19E01C28"/>
    <w:rsid w:val="19E7558B"/>
    <w:rsid w:val="19F4540E"/>
    <w:rsid w:val="1A195F32"/>
    <w:rsid w:val="1A2574DE"/>
    <w:rsid w:val="1A2D768C"/>
    <w:rsid w:val="1A331F2E"/>
    <w:rsid w:val="1A413668"/>
    <w:rsid w:val="1A753EF5"/>
    <w:rsid w:val="1A8C4A7F"/>
    <w:rsid w:val="1AD72371"/>
    <w:rsid w:val="1AE84433"/>
    <w:rsid w:val="1B117086"/>
    <w:rsid w:val="1B1D6CDD"/>
    <w:rsid w:val="1B5250FA"/>
    <w:rsid w:val="1B711E75"/>
    <w:rsid w:val="1B7606B6"/>
    <w:rsid w:val="1BC06AAD"/>
    <w:rsid w:val="1C2558E4"/>
    <w:rsid w:val="1C534B92"/>
    <w:rsid w:val="1C653381"/>
    <w:rsid w:val="1C6E53AF"/>
    <w:rsid w:val="1C94741D"/>
    <w:rsid w:val="1CA5284C"/>
    <w:rsid w:val="1CDF258C"/>
    <w:rsid w:val="1CE32817"/>
    <w:rsid w:val="1D105D78"/>
    <w:rsid w:val="1D4B3234"/>
    <w:rsid w:val="1E336622"/>
    <w:rsid w:val="1E451260"/>
    <w:rsid w:val="1E997DFD"/>
    <w:rsid w:val="1EE91306"/>
    <w:rsid w:val="1F1C1BA1"/>
    <w:rsid w:val="1F2B20F5"/>
    <w:rsid w:val="1F99187C"/>
    <w:rsid w:val="1FC6411D"/>
    <w:rsid w:val="202B6A28"/>
    <w:rsid w:val="203F3E8A"/>
    <w:rsid w:val="20586099"/>
    <w:rsid w:val="209F6AE1"/>
    <w:rsid w:val="20EA4BBF"/>
    <w:rsid w:val="211C6896"/>
    <w:rsid w:val="21C101AB"/>
    <w:rsid w:val="21EC14EC"/>
    <w:rsid w:val="22C60F74"/>
    <w:rsid w:val="23471A4E"/>
    <w:rsid w:val="23831780"/>
    <w:rsid w:val="23911B46"/>
    <w:rsid w:val="257A4A42"/>
    <w:rsid w:val="25D560AC"/>
    <w:rsid w:val="25E5693B"/>
    <w:rsid w:val="26480FF3"/>
    <w:rsid w:val="26BD2C8E"/>
    <w:rsid w:val="26E87267"/>
    <w:rsid w:val="2702581E"/>
    <w:rsid w:val="27041118"/>
    <w:rsid w:val="27055925"/>
    <w:rsid w:val="27070F1A"/>
    <w:rsid w:val="27227D47"/>
    <w:rsid w:val="27287CFF"/>
    <w:rsid w:val="2788674F"/>
    <w:rsid w:val="281F6A72"/>
    <w:rsid w:val="29020B19"/>
    <w:rsid w:val="2976645A"/>
    <w:rsid w:val="29A66B9A"/>
    <w:rsid w:val="29A720CD"/>
    <w:rsid w:val="2A350D92"/>
    <w:rsid w:val="2A4F3B41"/>
    <w:rsid w:val="2A550235"/>
    <w:rsid w:val="2A70204F"/>
    <w:rsid w:val="2A9F19FC"/>
    <w:rsid w:val="2AAD15A9"/>
    <w:rsid w:val="2AEF4F5A"/>
    <w:rsid w:val="2AEF5D4B"/>
    <w:rsid w:val="2AF330B4"/>
    <w:rsid w:val="2AFE68AB"/>
    <w:rsid w:val="2B090BEB"/>
    <w:rsid w:val="2B4A185A"/>
    <w:rsid w:val="2B66465E"/>
    <w:rsid w:val="2B823D99"/>
    <w:rsid w:val="2B972D64"/>
    <w:rsid w:val="2BC674EA"/>
    <w:rsid w:val="2BDF571B"/>
    <w:rsid w:val="2C66499B"/>
    <w:rsid w:val="2C6B17C7"/>
    <w:rsid w:val="2CD92D9C"/>
    <w:rsid w:val="2CDD5415"/>
    <w:rsid w:val="2CE70EA1"/>
    <w:rsid w:val="2D1A515E"/>
    <w:rsid w:val="2D372EFD"/>
    <w:rsid w:val="2D3E3F20"/>
    <w:rsid w:val="2D4F6003"/>
    <w:rsid w:val="2D5A281C"/>
    <w:rsid w:val="2D6A7911"/>
    <w:rsid w:val="2D6C7214"/>
    <w:rsid w:val="2D822BC7"/>
    <w:rsid w:val="2DC51C5C"/>
    <w:rsid w:val="2E595A03"/>
    <w:rsid w:val="2ED1273B"/>
    <w:rsid w:val="2F083A6E"/>
    <w:rsid w:val="301D7111"/>
    <w:rsid w:val="303C6B27"/>
    <w:rsid w:val="307351D1"/>
    <w:rsid w:val="308C03C9"/>
    <w:rsid w:val="309D684C"/>
    <w:rsid w:val="30DF2B31"/>
    <w:rsid w:val="3166141B"/>
    <w:rsid w:val="318907EB"/>
    <w:rsid w:val="319155BB"/>
    <w:rsid w:val="322A755F"/>
    <w:rsid w:val="32A911CA"/>
    <w:rsid w:val="32B214E9"/>
    <w:rsid w:val="32B54787"/>
    <w:rsid w:val="33131370"/>
    <w:rsid w:val="33164701"/>
    <w:rsid w:val="331C6D99"/>
    <w:rsid w:val="333806C8"/>
    <w:rsid w:val="333A2A4D"/>
    <w:rsid w:val="33A230C4"/>
    <w:rsid w:val="33B56721"/>
    <w:rsid w:val="3411308D"/>
    <w:rsid w:val="34341275"/>
    <w:rsid w:val="343E0404"/>
    <w:rsid w:val="34A418E0"/>
    <w:rsid w:val="34B5761C"/>
    <w:rsid w:val="351464FB"/>
    <w:rsid w:val="35175227"/>
    <w:rsid w:val="35690265"/>
    <w:rsid w:val="35B471A5"/>
    <w:rsid w:val="3602347F"/>
    <w:rsid w:val="36100DEE"/>
    <w:rsid w:val="361E5257"/>
    <w:rsid w:val="36A41CFC"/>
    <w:rsid w:val="36D9605E"/>
    <w:rsid w:val="36F310B9"/>
    <w:rsid w:val="37756A0B"/>
    <w:rsid w:val="37C567A9"/>
    <w:rsid w:val="380012E3"/>
    <w:rsid w:val="38885F1A"/>
    <w:rsid w:val="38AC352F"/>
    <w:rsid w:val="38BB221B"/>
    <w:rsid w:val="38D2453D"/>
    <w:rsid w:val="38DB335F"/>
    <w:rsid w:val="39485924"/>
    <w:rsid w:val="398E0B08"/>
    <w:rsid w:val="39AD7A53"/>
    <w:rsid w:val="39C47491"/>
    <w:rsid w:val="39DC6477"/>
    <w:rsid w:val="3A414402"/>
    <w:rsid w:val="3A453EA3"/>
    <w:rsid w:val="3A4F418E"/>
    <w:rsid w:val="3A6F5087"/>
    <w:rsid w:val="3A773FED"/>
    <w:rsid w:val="3AC61EE1"/>
    <w:rsid w:val="3B287684"/>
    <w:rsid w:val="3B4846E0"/>
    <w:rsid w:val="3B4D3692"/>
    <w:rsid w:val="3B5A6261"/>
    <w:rsid w:val="3C185036"/>
    <w:rsid w:val="3C52053D"/>
    <w:rsid w:val="3C8D3C33"/>
    <w:rsid w:val="3C94716C"/>
    <w:rsid w:val="3CEC2A7C"/>
    <w:rsid w:val="3D031376"/>
    <w:rsid w:val="3D32776C"/>
    <w:rsid w:val="3D4C7D7E"/>
    <w:rsid w:val="3D794651"/>
    <w:rsid w:val="3D8C6D07"/>
    <w:rsid w:val="3D947997"/>
    <w:rsid w:val="3DC84FD3"/>
    <w:rsid w:val="3DEB3106"/>
    <w:rsid w:val="3E0F1B94"/>
    <w:rsid w:val="3E503BEF"/>
    <w:rsid w:val="3E5C5C9A"/>
    <w:rsid w:val="3F037057"/>
    <w:rsid w:val="3F0E5202"/>
    <w:rsid w:val="3F171D6A"/>
    <w:rsid w:val="3F3B7314"/>
    <w:rsid w:val="3F5E5375"/>
    <w:rsid w:val="3F920F86"/>
    <w:rsid w:val="3FC30FF0"/>
    <w:rsid w:val="3FDF64CC"/>
    <w:rsid w:val="40491932"/>
    <w:rsid w:val="40516596"/>
    <w:rsid w:val="408A2036"/>
    <w:rsid w:val="40BA06B3"/>
    <w:rsid w:val="40BE58C5"/>
    <w:rsid w:val="40EB7283"/>
    <w:rsid w:val="40F620C0"/>
    <w:rsid w:val="41317BA0"/>
    <w:rsid w:val="41351797"/>
    <w:rsid w:val="414D20AB"/>
    <w:rsid w:val="418B7BD5"/>
    <w:rsid w:val="41AA2BE3"/>
    <w:rsid w:val="41C70178"/>
    <w:rsid w:val="41F14991"/>
    <w:rsid w:val="41FD7189"/>
    <w:rsid w:val="42322EC9"/>
    <w:rsid w:val="42671E75"/>
    <w:rsid w:val="42B0545A"/>
    <w:rsid w:val="42C46384"/>
    <w:rsid w:val="42D54BD9"/>
    <w:rsid w:val="43320184"/>
    <w:rsid w:val="437849F9"/>
    <w:rsid w:val="43810DF8"/>
    <w:rsid w:val="438E7BDA"/>
    <w:rsid w:val="43E37469"/>
    <w:rsid w:val="43E548CD"/>
    <w:rsid w:val="43F17986"/>
    <w:rsid w:val="447A64B0"/>
    <w:rsid w:val="44B97171"/>
    <w:rsid w:val="44CF0F69"/>
    <w:rsid w:val="44EA6E61"/>
    <w:rsid w:val="451A3F70"/>
    <w:rsid w:val="4530459E"/>
    <w:rsid w:val="455F620C"/>
    <w:rsid w:val="45685681"/>
    <w:rsid w:val="460E01A7"/>
    <w:rsid w:val="46507D44"/>
    <w:rsid w:val="467C68B4"/>
    <w:rsid w:val="472A3C46"/>
    <w:rsid w:val="47514506"/>
    <w:rsid w:val="4751654D"/>
    <w:rsid w:val="475279F9"/>
    <w:rsid w:val="476B4B41"/>
    <w:rsid w:val="47816245"/>
    <w:rsid w:val="47E260CF"/>
    <w:rsid w:val="47E51C29"/>
    <w:rsid w:val="47E82329"/>
    <w:rsid w:val="47E856B4"/>
    <w:rsid w:val="4811792D"/>
    <w:rsid w:val="481674BF"/>
    <w:rsid w:val="48274AEC"/>
    <w:rsid w:val="4861104C"/>
    <w:rsid w:val="48662F81"/>
    <w:rsid w:val="486763D9"/>
    <w:rsid w:val="4873054D"/>
    <w:rsid w:val="48B07B2D"/>
    <w:rsid w:val="490E45F2"/>
    <w:rsid w:val="493A7700"/>
    <w:rsid w:val="493E1722"/>
    <w:rsid w:val="4946228A"/>
    <w:rsid w:val="494D274E"/>
    <w:rsid w:val="49592085"/>
    <w:rsid w:val="4981750C"/>
    <w:rsid w:val="498B0CE0"/>
    <w:rsid w:val="49F56FCC"/>
    <w:rsid w:val="49F928D0"/>
    <w:rsid w:val="4A1B2797"/>
    <w:rsid w:val="4A82565F"/>
    <w:rsid w:val="4AC90137"/>
    <w:rsid w:val="4B582F60"/>
    <w:rsid w:val="4B61467A"/>
    <w:rsid w:val="4B6F3060"/>
    <w:rsid w:val="4B8E66EF"/>
    <w:rsid w:val="4BCD333B"/>
    <w:rsid w:val="4BCF0AEE"/>
    <w:rsid w:val="4BDE5DF3"/>
    <w:rsid w:val="4BF669E4"/>
    <w:rsid w:val="4BFB2CF6"/>
    <w:rsid w:val="4BFE3487"/>
    <w:rsid w:val="4C2D206A"/>
    <w:rsid w:val="4C4C1F46"/>
    <w:rsid w:val="4C5E75AD"/>
    <w:rsid w:val="4CCE4EBD"/>
    <w:rsid w:val="4CF3466E"/>
    <w:rsid w:val="4D2E34E0"/>
    <w:rsid w:val="4D935D2E"/>
    <w:rsid w:val="4DE14866"/>
    <w:rsid w:val="4E421C97"/>
    <w:rsid w:val="4E533344"/>
    <w:rsid w:val="4EA43A9F"/>
    <w:rsid w:val="4F4A348F"/>
    <w:rsid w:val="504A1A7A"/>
    <w:rsid w:val="50BA41B1"/>
    <w:rsid w:val="51254C81"/>
    <w:rsid w:val="517B0774"/>
    <w:rsid w:val="51F411FA"/>
    <w:rsid w:val="526C77D7"/>
    <w:rsid w:val="5274193A"/>
    <w:rsid w:val="52FE4F0B"/>
    <w:rsid w:val="53045C41"/>
    <w:rsid w:val="53322219"/>
    <w:rsid w:val="534469AF"/>
    <w:rsid w:val="535813CD"/>
    <w:rsid w:val="535A657B"/>
    <w:rsid w:val="536B2998"/>
    <w:rsid w:val="537B5903"/>
    <w:rsid w:val="53FD2CD0"/>
    <w:rsid w:val="549D1EB0"/>
    <w:rsid w:val="54C73F50"/>
    <w:rsid w:val="550B3C00"/>
    <w:rsid w:val="55493350"/>
    <w:rsid w:val="559B37B2"/>
    <w:rsid w:val="559D01B3"/>
    <w:rsid w:val="55E36D0B"/>
    <w:rsid w:val="56066326"/>
    <w:rsid w:val="56D94B4D"/>
    <w:rsid w:val="571F78F3"/>
    <w:rsid w:val="57235785"/>
    <w:rsid w:val="575E3F1C"/>
    <w:rsid w:val="57AE28EC"/>
    <w:rsid w:val="57ED1903"/>
    <w:rsid w:val="58124DC3"/>
    <w:rsid w:val="584A60C0"/>
    <w:rsid w:val="589659CA"/>
    <w:rsid w:val="58BF398F"/>
    <w:rsid w:val="58DE262B"/>
    <w:rsid w:val="592572CA"/>
    <w:rsid w:val="593C3E78"/>
    <w:rsid w:val="5A5A1E61"/>
    <w:rsid w:val="5AD9687D"/>
    <w:rsid w:val="5AE6005A"/>
    <w:rsid w:val="5B411E5D"/>
    <w:rsid w:val="5B4D241F"/>
    <w:rsid w:val="5BAE3EB0"/>
    <w:rsid w:val="5C07441B"/>
    <w:rsid w:val="5C0D07BD"/>
    <w:rsid w:val="5C2D2AB6"/>
    <w:rsid w:val="5C4D4D14"/>
    <w:rsid w:val="5C5263DE"/>
    <w:rsid w:val="5C6F397E"/>
    <w:rsid w:val="5CA24E74"/>
    <w:rsid w:val="5CE83E90"/>
    <w:rsid w:val="5CF87558"/>
    <w:rsid w:val="5D317E0F"/>
    <w:rsid w:val="5D4D49D6"/>
    <w:rsid w:val="5DC74DE1"/>
    <w:rsid w:val="5DFD7A64"/>
    <w:rsid w:val="5E103825"/>
    <w:rsid w:val="5E1C664B"/>
    <w:rsid w:val="5E215E49"/>
    <w:rsid w:val="5E3E6161"/>
    <w:rsid w:val="5E723019"/>
    <w:rsid w:val="5E77248D"/>
    <w:rsid w:val="5EAB06A5"/>
    <w:rsid w:val="5F117629"/>
    <w:rsid w:val="5F730868"/>
    <w:rsid w:val="5F9F4716"/>
    <w:rsid w:val="5FC9626D"/>
    <w:rsid w:val="60014ABB"/>
    <w:rsid w:val="60050DD3"/>
    <w:rsid w:val="603C5ED5"/>
    <w:rsid w:val="606C5570"/>
    <w:rsid w:val="609D0AC8"/>
    <w:rsid w:val="60A77EDE"/>
    <w:rsid w:val="60D240A2"/>
    <w:rsid w:val="60E81B5D"/>
    <w:rsid w:val="60EB7288"/>
    <w:rsid w:val="61187A15"/>
    <w:rsid w:val="613655DF"/>
    <w:rsid w:val="613F7C8B"/>
    <w:rsid w:val="61A61FBB"/>
    <w:rsid w:val="62593D94"/>
    <w:rsid w:val="627B024C"/>
    <w:rsid w:val="638220DD"/>
    <w:rsid w:val="63AB62C9"/>
    <w:rsid w:val="63BF6533"/>
    <w:rsid w:val="63F90E6D"/>
    <w:rsid w:val="63FF170A"/>
    <w:rsid w:val="643C66ED"/>
    <w:rsid w:val="64486E34"/>
    <w:rsid w:val="64750162"/>
    <w:rsid w:val="650F148F"/>
    <w:rsid w:val="655D3412"/>
    <w:rsid w:val="66121A75"/>
    <w:rsid w:val="6640491C"/>
    <w:rsid w:val="66BB2251"/>
    <w:rsid w:val="66D435C2"/>
    <w:rsid w:val="67012003"/>
    <w:rsid w:val="67416D32"/>
    <w:rsid w:val="67A905C7"/>
    <w:rsid w:val="67B977EF"/>
    <w:rsid w:val="6802374F"/>
    <w:rsid w:val="683B7444"/>
    <w:rsid w:val="683F1510"/>
    <w:rsid w:val="688370CD"/>
    <w:rsid w:val="68AB2F07"/>
    <w:rsid w:val="68EE415B"/>
    <w:rsid w:val="69406A59"/>
    <w:rsid w:val="69A825EB"/>
    <w:rsid w:val="69A94F6A"/>
    <w:rsid w:val="69EF3A68"/>
    <w:rsid w:val="6A37337F"/>
    <w:rsid w:val="6AAC0A2E"/>
    <w:rsid w:val="6AFD7FF7"/>
    <w:rsid w:val="6B310A25"/>
    <w:rsid w:val="6B331C8F"/>
    <w:rsid w:val="6B4D10E3"/>
    <w:rsid w:val="6B8F059E"/>
    <w:rsid w:val="6BC75D6A"/>
    <w:rsid w:val="6CA860B5"/>
    <w:rsid w:val="6CF46964"/>
    <w:rsid w:val="6D0C10F7"/>
    <w:rsid w:val="6D4D4498"/>
    <w:rsid w:val="6DDE27D0"/>
    <w:rsid w:val="6E111C91"/>
    <w:rsid w:val="6E2540E6"/>
    <w:rsid w:val="6E3C1431"/>
    <w:rsid w:val="6E623FC4"/>
    <w:rsid w:val="6F700E2B"/>
    <w:rsid w:val="6FDD2296"/>
    <w:rsid w:val="6FFA7FF3"/>
    <w:rsid w:val="704950EA"/>
    <w:rsid w:val="70B646B2"/>
    <w:rsid w:val="70FA12BF"/>
    <w:rsid w:val="71950A52"/>
    <w:rsid w:val="719D2FA2"/>
    <w:rsid w:val="719E1196"/>
    <w:rsid w:val="71A81EEF"/>
    <w:rsid w:val="71CA07BD"/>
    <w:rsid w:val="71EF08C0"/>
    <w:rsid w:val="72175EC4"/>
    <w:rsid w:val="726614CA"/>
    <w:rsid w:val="72713BD9"/>
    <w:rsid w:val="72A76788"/>
    <w:rsid w:val="72B10E82"/>
    <w:rsid w:val="72CB3CAC"/>
    <w:rsid w:val="72ED586B"/>
    <w:rsid w:val="73017BC9"/>
    <w:rsid w:val="73181CD0"/>
    <w:rsid w:val="732F462C"/>
    <w:rsid w:val="73426B2A"/>
    <w:rsid w:val="735F7F9D"/>
    <w:rsid w:val="737934A2"/>
    <w:rsid w:val="73A97FA1"/>
    <w:rsid w:val="74620243"/>
    <w:rsid w:val="7475039B"/>
    <w:rsid w:val="74C436A5"/>
    <w:rsid w:val="75033AEB"/>
    <w:rsid w:val="751A3C71"/>
    <w:rsid w:val="752F7328"/>
    <w:rsid w:val="754D4A0B"/>
    <w:rsid w:val="75517434"/>
    <w:rsid w:val="757A05B0"/>
    <w:rsid w:val="757C7F8A"/>
    <w:rsid w:val="758D759A"/>
    <w:rsid w:val="75BD20E1"/>
    <w:rsid w:val="769679F2"/>
    <w:rsid w:val="774A04E8"/>
    <w:rsid w:val="77587608"/>
    <w:rsid w:val="7780195B"/>
    <w:rsid w:val="778B6844"/>
    <w:rsid w:val="77D21664"/>
    <w:rsid w:val="786F74DC"/>
    <w:rsid w:val="78E1125F"/>
    <w:rsid w:val="79024315"/>
    <w:rsid w:val="79124886"/>
    <w:rsid w:val="792979DA"/>
    <w:rsid w:val="793A2870"/>
    <w:rsid w:val="793D76F7"/>
    <w:rsid w:val="79464E14"/>
    <w:rsid w:val="7952184F"/>
    <w:rsid w:val="79854CEA"/>
    <w:rsid w:val="79F26992"/>
    <w:rsid w:val="7A0E5D19"/>
    <w:rsid w:val="7AED2DCE"/>
    <w:rsid w:val="7B13112B"/>
    <w:rsid w:val="7B22638A"/>
    <w:rsid w:val="7B4316EB"/>
    <w:rsid w:val="7B8466C6"/>
    <w:rsid w:val="7B9826D1"/>
    <w:rsid w:val="7B9A22FE"/>
    <w:rsid w:val="7BD6383B"/>
    <w:rsid w:val="7BFC6A34"/>
    <w:rsid w:val="7C8576F5"/>
    <w:rsid w:val="7CAC1950"/>
    <w:rsid w:val="7D2D2BED"/>
    <w:rsid w:val="7D8F060E"/>
    <w:rsid w:val="7DA42CC5"/>
    <w:rsid w:val="7DB341A2"/>
    <w:rsid w:val="7DD81CFC"/>
    <w:rsid w:val="7DE051B4"/>
    <w:rsid w:val="7E3D2E66"/>
    <w:rsid w:val="7E927F10"/>
    <w:rsid w:val="7EBA6561"/>
    <w:rsid w:val="7ED71E0F"/>
    <w:rsid w:val="7F0D36AB"/>
    <w:rsid w:val="7F4A2C46"/>
    <w:rsid w:val="7F9F08AF"/>
    <w:rsid w:val="7FED79CB"/>
    <w:rsid w:val="7FF269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paragraph" w:styleId="4">
    <w:name w:val="heading 1"/>
    <w:basedOn w:val="1"/>
    <w:next w:val="1"/>
    <w:link w:val="94"/>
    <w:qFormat/>
    <w:uiPriority w:val="99"/>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5">
    <w:name w:val="heading 2"/>
    <w:basedOn w:val="1"/>
    <w:next w:val="1"/>
    <w:link w:val="95"/>
    <w:qFormat/>
    <w:uiPriority w:val="99"/>
    <w:pPr>
      <w:keepNext/>
      <w:keepLines/>
      <w:widowControl w:val="0"/>
      <w:spacing w:before="260" w:after="260" w:line="415" w:lineRule="auto"/>
      <w:jc w:val="both"/>
      <w:outlineLvl w:val="1"/>
    </w:pPr>
    <w:rPr>
      <w:rFonts w:ascii="Arial" w:hAnsi="Arial" w:eastAsia="黑体" w:cs="Times New Roman"/>
      <w:b/>
      <w:bCs/>
      <w:sz w:val="32"/>
      <w:szCs w:val="32"/>
    </w:rPr>
  </w:style>
  <w:style w:type="paragraph" w:styleId="6">
    <w:name w:val="heading 3"/>
    <w:basedOn w:val="1"/>
    <w:next w:val="1"/>
    <w:link w:val="96"/>
    <w:qFormat/>
    <w:uiPriority w:val="99"/>
    <w:pPr>
      <w:keepNext/>
      <w:keepLines/>
      <w:widowControl w:val="0"/>
      <w:spacing w:before="260" w:after="260" w:line="415" w:lineRule="auto"/>
      <w:jc w:val="both"/>
      <w:outlineLvl w:val="2"/>
    </w:pPr>
    <w:rPr>
      <w:rFonts w:cs="Times New Roman"/>
      <w:b/>
      <w:bCs/>
      <w:sz w:val="32"/>
      <w:szCs w:val="32"/>
    </w:rPr>
  </w:style>
  <w:style w:type="paragraph" w:styleId="7">
    <w:name w:val="heading 4"/>
    <w:basedOn w:val="1"/>
    <w:next w:val="1"/>
    <w:link w:val="97"/>
    <w:autoRedefine/>
    <w:qFormat/>
    <w:uiPriority w:val="99"/>
    <w:pPr>
      <w:keepNext/>
      <w:keepLines/>
      <w:widowControl w:val="0"/>
      <w:spacing w:before="280" w:after="290" w:line="374" w:lineRule="auto"/>
      <w:jc w:val="both"/>
      <w:outlineLvl w:val="3"/>
    </w:pPr>
    <w:rPr>
      <w:rFonts w:ascii="Arial" w:hAnsi="Arial" w:eastAsia="黑体" w:cs="Times New Roman"/>
      <w:b/>
      <w:bCs/>
      <w:sz w:val="28"/>
      <w:szCs w:val="28"/>
    </w:rPr>
  </w:style>
  <w:style w:type="paragraph" w:styleId="8">
    <w:name w:val="heading 5"/>
    <w:basedOn w:val="1"/>
    <w:next w:val="1"/>
    <w:link w:val="98"/>
    <w:qFormat/>
    <w:uiPriority w:val="99"/>
    <w:pPr>
      <w:keepNext/>
      <w:keepLines/>
      <w:widowControl w:val="0"/>
      <w:spacing w:before="280" w:after="290" w:line="372" w:lineRule="auto"/>
      <w:jc w:val="both"/>
      <w:outlineLvl w:val="4"/>
    </w:pPr>
    <w:rPr>
      <w:rFonts w:ascii="Times New Roman" w:hAnsi="Times New Roman" w:cs="Times New Roman"/>
      <w:b/>
      <w:sz w:val="28"/>
      <w:szCs w:val="20"/>
    </w:rPr>
  </w:style>
  <w:style w:type="paragraph" w:styleId="9">
    <w:name w:val="heading 6"/>
    <w:basedOn w:val="1"/>
    <w:next w:val="1"/>
    <w:link w:val="99"/>
    <w:autoRedefine/>
    <w:qFormat/>
    <w:uiPriority w:val="99"/>
    <w:pPr>
      <w:keepNext/>
      <w:keepLines/>
      <w:tabs>
        <w:tab w:val="left" w:pos="1440"/>
      </w:tabs>
      <w:spacing w:before="240" w:after="64" w:line="319" w:lineRule="auto"/>
      <w:ind w:left="1152" w:hanging="1152"/>
      <w:outlineLvl w:val="5"/>
    </w:pPr>
    <w:rPr>
      <w:rFonts w:ascii="Arial" w:hAnsi="Arial" w:eastAsia="黑体" w:cs="Times New Roman"/>
      <w:b/>
      <w:bCs/>
    </w:rPr>
  </w:style>
  <w:style w:type="paragraph" w:styleId="10">
    <w:name w:val="heading 7"/>
    <w:basedOn w:val="1"/>
    <w:next w:val="1"/>
    <w:link w:val="100"/>
    <w:qFormat/>
    <w:uiPriority w:val="99"/>
    <w:pPr>
      <w:keepNext/>
      <w:keepLines/>
      <w:tabs>
        <w:tab w:val="left" w:pos="2520"/>
      </w:tabs>
      <w:spacing w:before="240" w:after="64" w:line="319" w:lineRule="auto"/>
      <w:ind w:left="1296" w:hanging="1296"/>
      <w:outlineLvl w:val="6"/>
    </w:pPr>
    <w:rPr>
      <w:rFonts w:ascii="Times New Roman" w:hAnsi="Times New Roman" w:cs="Times New Roman"/>
      <w:b/>
      <w:bCs/>
    </w:rPr>
  </w:style>
  <w:style w:type="paragraph" w:styleId="11">
    <w:name w:val="heading 8"/>
    <w:basedOn w:val="1"/>
    <w:next w:val="1"/>
    <w:link w:val="101"/>
    <w:autoRedefine/>
    <w:qFormat/>
    <w:uiPriority w:val="99"/>
    <w:pPr>
      <w:keepNext/>
      <w:keepLines/>
      <w:tabs>
        <w:tab w:val="left" w:pos="1440"/>
      </w:tabs>
      <w:spacing w:before="240" w:after="64" w:line="319" w:lineRule="auto"/>
      <w:ind w:left="1440" w:hanging="1440"/>
      <w:outlineLvl w:val="7"/>
    </w:pPr>
    <w:rPr>
      <w:rFonts w:ascii="Arial" w:hAnsi="Arial" w:eastAsia="黑体" w:cs="Times New Roman"/>
    </w:rPr>
  </w:style>
  <w:style w:type="paragraph" w:styleId="12">
    <w:name w:val="heading 9"/>
    <w:basedOn w:val="1"/>
    <w:next w:val="1"/>
    <w:link w:val="102"/>
    <w:qFormat/>
    <w:uiPriority w:val="99"/>
    <w:pPr>
      <w:keepNext/>
      <w:keepLines/>
      <w:tabs>
        <w:tab w:val="left" w:pos="1584"/>
      </w:tabs>
      <w:spacing w:before="240" w:after="64" w:line="319" w:lineRule="auto"/>
      <w:ind w:left="1584" w:hanging="1584"/>
      <w:outlineLvl w:val="8"/>
    </w:pPr>
    <w:rPr>
      <w:rFonts w:ascii="Arial" w:hAnsi="Arial" w:eastAsia="黑体" w:cs="Times New Roman"/>
      <w:sz w:val="20"/>
      <w:szCs w:val="21"/>
    </w:rPr>
  </w:style>
  <w:style w:type="character" w:default="1" w:styleId="48">
    <w:name w:val="Default Paragraph Font"/>
    <w:unhideWhenUsed/>
    <w:qFormat/>
    <w:uiPriority w:val="1"/>
  </w:style>
  <w:style w:type="table" w:default="1" w:styleId="46">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link w:val="93"/>
    <w:autoRedefine/>
    <w:qFormat/>
    <w:uiPriority w:val="99"/>
    <w:pPr>
      <w:ind w:firstLine="420" w:firstLineChars="200"/>
    </w:pPr>
  </w:style>
  <w:style w:type="paragraph" w:styleId="3">
    <w:name w:val="Body Text Indent"/>
    <w:basedOn w:val="1"/>
    <w:link w:val="92"/>
    <w:autoRedefine/>
    <w:qFormat/>
    <w:uiPriority w:val="99"/>
    <w:pPr>
      <w:widowControl w:val="0"/>
      <w:spacing w:after="120"/>
      <w:ind w:left="420" w:leftChars="200"/>
      <w:jc w:val="both"/>
    </w:pPr>
    <w:rPr>
      <w:rFonts w:ascii="Times New Roman" w:hAnsi="Times New Roman" w:cs="Times New Roman"/>
    </w:rPr>
  </w:style>
  <w:style w:type="paragraph" w:styleId="13">
    <w:name w:val="toc 7"/>
    <w:basedOn w:val="1"/>
    <w:next w:val="1"/>
    <w:autoRedefine/>
    <w:qFormat/>
    <w:uiPriority w:val="99"/>
    <w:pPr>
      <w:widowControl w:val="0"/>
      <w:ind w:left="2520" w:leftChars="1200"/>
      <w:jc w:val="both"/>
    </w:pPr>
    <w:rPr>
      <w:rFonts w:ascii="Calibri" w:hAnsi="Calibri" w:cs="Times New Roman"/>
      <w:kern w:val="2"/>
      <w:sz w:val="21"/>
      <w:szCs w:val="22"/>
    </w:rPr>
  </w:style>
  <w:style w:type="paragraph" w:styleId="14">
    <w:name w:val="Normal Indent"/>
    <w:basedOn w:val="1"/>
    <w:link w:val="103"/>
    <w:autoRedefine/>
    <w:qFormat/>
    <w:uiPriority w:val="99"/>
    <w:pPr>
      <w:widowControl w:val="0"/>
      <w:ind w:firstLine="420" w:firstLineChars="200"/>
      <w:jc w:val="both"/>
    </w:pPr>
    <w:rPr>
      <w:rFonts w:cs="Times New Roman"/>
      <w:szCs w:val="20"/>
    </w:rPr>
  </w:style>
  <w:style w:type="paragraph" w:styleId="15">
    <w:name w:val="caption"/>
    <w:basedOn w:val="1"/>
    <w:next w:val="1"/>
    <w:autoRedefine/>
    <w:qFormat/>
    <w:uiPriority w:val="99"/>
    <w:pPr>
      <w:widowControl w:val="0"/>
      <w:jc w:val="both"/>
    </w:pPr>
    <w:rPr>
      <w:rFonts w:ascii="Cambria" w:hAnsi="Cambria" w:eastAsia="黑体" w:cs="Times New Roman"/>
      <w:kern w:val="2"/>
      <w:sz w:val="20"/>
      <w:szCs w:val="20"/>
    </w:rPr>
  </w:style>
  <w:style w:type="paragraph" w:styleId="16">
    <w:name w:val="Document Map"/>
    <w:basedOn w:val="1"/>
    <w:link w:val="104"/>
    <w:autoRedefine/>
    <w:qFormat/>
    <w:uiPriority w:val="99"/>
    <w:pPr>
      <w:widowControl w:val="0"/>
      <w:shd w:val="clear" w:color="auto" w:fill="000080"/>
      <w:jc w:val="both"/>
    </w:pPr>
    <w:rPr>
      <w:rFonts w:ascii="Times New Roman" w:hAnsi="Times New Roman" w:cs="Times New Roman"/>
    </w:rPr>
  </w:style>
  <w:style w:type="paragraph" w:styleId="17">
    <w:name w:val="annotation text"/>
    <w:basedOn w:val="1"/>
    <w:link w:val="105"/>
    <w:autoRedefine/>
    <w:qFormat/>
    <w:uiPriority w:val="99"/>
    <w:pPr>
      <w:widowControl w:val="0"/>
    </w:pPr>
    <w:rPr>
      <w:rFonts w:ascii="Calibri" w:hAnsi="Calibri" w:cs="Times New Roman"/>
    </w:rPr>
  </w:style>
  <w:style w:type="paragraph" w:styleId="18">
    <w:name w:val="Salutation"/>
    <w:basedOn w:val="1"/>
    <w:next w:val="1"/>
    <w:link w:val="106"/>
    <w:autoRedefine/>
    <w:qFormat/>
    <w:uiPriority w:val="99"/>
    <w:pPr>
      <w:widowControl w:val="0"/>
      <w:jc w:val="both"/>
    </w:pPr>
    <w:rPr>
      <w:rFonts w:ascii="Times New Roman" w:hAnsi="Times New Roman" w:cs="Times New Roman"/>
      <w:sz w:val="28"/>
    </w:rPr>
  </w:style>
  <w:style w:type="paragraph" w:styleId="19">
    <w:name w:val="Body Text 3"/>
    <w:basedOn w:val="1"/>
    <w:link w:val="107"/>
    <w:autoRedefine/>
    <w:qFormat/>
    <w:uiPriority w:val="99"/>
    <w:pPr>
      <w:widowControl w:val="0"/>
      <w:jc w:val="both"/>
    </w:pPr>
    <w:rPr>
      <w:rFonts w:hAnsi="Times New Roman" w:cs="Times New Roman"/>
      <w:sz w:val="20"/>
      <w:szCs w:val="20"/>
    </w:rPr>
  </w:style>
  <w:style w:type="paragraph" w:styleId="20">
    <w:name w:val="Body Text"/>
    <w:basedOn w:val="1"/>
    <w:link w:val="108"/>
    <w:autoRedefine/>
    <w:qFormat/>
    <w:uiPriority w:val="99"/>
    <w:pPr>
      <w:widowControl w:val="0"/>
      <w:spacing w:after="120"/>
      <w:jc w:val="both"/>
    </w:pPr>
    <w:rPr>
      <w:rFonts w:ascii="Times New Roman" w:hAnsi="Times New Roman" w:cs="Times New Roman"/>
    </w:rPr>
  </w:style>
  <w:style w:type="paragraph" w:styleId="21">
    <w:name w:val="List 2"/>
    <w:basedOn w:val="1"/>
    <w:autoRedefine/>
    <w:qFormat/>
    <w:uiPriority w:val="99"/>
    <w:pPr>
      <w:widowControl w:val="0"/>
      <w:ind w:left="100" w:leftChars="200" w:hanging="200" w:hangingChars="200"/>
      <w:jc w:val="both"/>
    </w:pPr>
    <w:rPr>
      <w:rFonts w:ascii="Times New Roman" w:hAnsi="Times New Roman" w:cs="Times New Roman"/>
      <w:kern w:val="2"/>
      <w:sz w:val="21"/>
    </w:rPr>
  </w:style>
  <w:style w:type="paragraph" w:styleId="22">
    <w:name w:val="index 4"/>
    <w:basedOn w:val="1"/>
    <w:next w:val="1"/>
    <w:autoRedefine/>
    <w:qFormat/>
    <w:uiPriority w:val="99"/>
    <w:pPr>
      <w:widowControl w:val="0"/>
      <w:ind w:left="600" w:leftChars="600"/>
      <w:jc w:val="both"/>
    </w:pPr>
    <w:rPr>
      <w:rFonts w:ascii="Times New Roman" w:hAnsi="Times New Roman" w:cs="Times New Roman"/>
      <w:kern w:val="2"/>
      <w:sz w:val="21"/>
    </w:rPr>
  </w:style>
  <w:style w:type="paragraph" w:styleId="23">
    <w:name w:val="toc 5"/>
    <w:basedOn w:val="1"/>
    <w:next w:val="1"/>
    <w:autoRedefine/>
    <w:qFormat/>
    <w:uiPriority w:val="99"/>
    <w:pPr>
      <w:widowControl w:val="0"/>
      <w:ind w:left="1680" w:leftChars="800"/>
      <w:jc w:val="both"/>
    </w:pPr>
    <w:rPr>
      <w:rFonts w:ascii="Times New Roman" w:hAnsi="Times New Roman" w:cs="Times New Roman"/>
      <w:kern w:val="2"/>
      <w:sz w:val="21"/>
      <w:szCs w:val="20"/>
    </w:rPr>
  </w:style>
  <w:style w:type="paragraph" w:styleId="24">
    <w:name w:val="toc 3"/>
    <w:basedOn w:val="1"/>
    <w:next w:val="1"/>
    <w:autoRedefine/>
    <w:qFormat/>
    <w:uiPriority w:val="99"/>
    <w:pPr>
      <w:widowControl w:val="0"/>
      <w:ind w:left="840" w:leftChars="400"/>
      <w:jc w:val="both"/>
    </w:pPr>
    <w:rPr>
      <w:rFonts w:ascii="Times New Roman" w:hAnsi="Times New Roman" w:cs="Times New Roman"/>
      <w:kern w:val="2"/>
      <w:sz w:val="21"/>
      <w:szCs w:val="20"/>
    </w:rPr>
  </w:style>
  <w:style w:type="paragraph" w:styleId="25">
    <w:name w:val="Plain Text"/>
    <w:basedOn w:val="1"/>
    <w:link w:val="109"/>
    <w:autoRedefine/>
    <w:qFormat/>
    <w:uiPriority w:val="99"/>
    <w:pPr>
      <w:widowControl w:val="0"/>
      <w:jc w:val="both"/>
    </w:pPr>
    <w:rPr>
      <w:rFonts w:hAnsi="Courier New" w:cs="Times New Roman"/>
      <w:sz w:val="20"/>
      <w:szCs w:val="20"/>
    </w:rPr>
  </w:style>
  <w:style w:type="paragraph" w:styleId="26">
    <w:name w:val="toc 8"/>
    <w:basedOn w:val="1"/>
    <w:next w:val="1"/>
    <w:autoRedefine/>
    <w:qFormat/>
    <w:uiPriority w:val="99"/>
    <w:pPr>
      <w:widowControl w:val="0"/>
      <w:ind w:left="2940" w:leftChars="1400"/>
      <w:jc w:val="both"/>
    </w:pPr>
    <w:rPr>
      <w:rFonts w:ascii="Calibri" w:hAnsi="Calibri" w:cs="Times New Roman"/>
      <w:kern w:val="2"/>
      <w:sz w:val="21"/>
      <w:szCs w:val="22"/>
    </w:rPr>
  </w:style>
  <w:style w:type="paragraph" w:styleId="27">
    <w:name w:val="Date"/>
    <w:basedOn w:val="1"/>
    <w:next w:val="1"/>
    <w:link w:val="110"/>
    <w:autoRedefine/>
    <w:qFormat/>
    <w:uiPriority w:val="99"/>
    <w:pPr>
      <w:widowControl w:val="0"/>
      <w:ind w:left="100" w:leftChars="2500"/>
      <w:jc w:val="both"/>
    </w:pPr>
    <w:rPr>
      <w:rFonts w:ascii="Times New Roman" w:hAnsi="Times New Roman" w:cs="Times New Roman"/>
    </w:rPr>
  </w:style>
  <w:style w:type="paragraph" w:styleId="28">
    <w:name w:val="Body Text Indent 2"/>
    <w:basedOn w:val="1"/>
    <w:link w:val="111"/>
    <w:autoRedefine/>
    <w:qFormat/>
    <w:uiPriority w:val="99"/>
    <w:pPr>
      <w:widowControl w:val="0"/>
      <w:spacing w:after="120" w:line="480" w:lineRule="auto"/>
      <w:ind w:left="420" w:leftChars="200"/>
      <w:jc w:val="both"/>
    </w:pPr>
    <w:rPr>
      <w:rFonts w:ascii="Times New Roman" w:hAnsi="Times New Roman" w:cs="Times New Roman"/>
    </w:rPr>
  </w:style>
  <w:style w:type="paragraph" w:styleId="29">
    <w:name w:val="Balloon Text"/>
    <w:basedOn w:val="1"/>
    <w:link w:val="112"/>
    <w:autoRedefine/>
    <w:qFormat/>
    <w:uiPriority w:val="99"/>
    <w:pPr>
      <w:widowControl w:val="0"/>
      <w:jc w:val="both"/>
    </w:pPr>
    <w:rPr>
      <w:rFonts w:ascii="Calibri" w:hAnsi="Calibri" w:cs="Times New Roman"/>
      <w:sz w:val="18"/>
      <w:szCs w:val="18"/>
    </w:rPr>
  </w:style>
  <w:style w:type="paragraph" w:styleId="30">
    <w:name w:val="footer"/>
    <w:basedOn w:val="1"/>
    <w:link w:val="113"/>
    <w:autoRedefine/>
    <w:unhideWhenUsed/>
    <w:qFormat/>
    <w:uiPriority w:val="99"/>
    <w:pPr>
      <w:tabs>
        <w:tab w:val="center" w:pos="4153"/>
        <w:tab w:val="right" w:pos="8306"/>
      </w:tabs>
      <w:snapToGrid w:val="0"/>
      <w:jc w:val="left"/>
    </w:pPr>
    <w:rPr>
      <w:rFonts w:ascii="Times New Roman" w:hAnsi="Times New Roman" w:cs="Times New Roman"/>
      <w:sz w:val="18"/>
      <w:szCs w:val="18"/>
    </w:rPr>
  </w:style>
  <w:style w:type="paragraph" w:styleId="31">
    <w:name w:val="header"/>
    <w:basedOn w:val="1"/>
    <w:link w:val="114"/>
    <w:autoRedefine/>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32">
    <w:name w:val="toc 1"/>
    <w:basedOn w:val="1"/>
    <w:next w:val="1"/>
    <w:autoRedefine/>
    <w:qFormat/>
    <w:uiPriority w:val="99"/>
    <w:pPr>
      <w:widowControl w:val="0"/>
      <w:tabs>
        <w:tab w:val="right" w:leader="dot" w:pos="8296"/>
      </w:tabs>
      <w:spacing w:line="440" w:lineRule="exact"/>
      <w:jc w:val="both"/>
    </w:pPr>
    <w:rPr>
      <w:rFonts w:ascii="Times New Roman" w:hAnsi="Times New Roman" w:cs="Times New Roman"/>
      <w:kern w:val="2"/>
      <w:sz w:val="21"/>
      <w:szCs w:val="20"/>
    </w:rPr>
  </w:style>
  <w:style w:type="paragraph" w:styleId="33">
    <w:name w:val="toc 4"/>
    <w:basedOn w:val="1"/>
    <w:next w:val="1"/>
    <w:autoRedefine/>
    <w:qFormat/>
    <w:uiPriority w:val="99"/>
    <w:pPr>
      <w:widowControl w:val="0"/>
      <w:tabs>
        <w:tab w:val="left" w:pos="1890"/>
        <w:tab w:val="right" w:leader="dot" w:pos="8296"/>
      </w:tabs>
      <w:ind w:left="630" w:leftChars="300"/>
      <w:jc w:val="both"/>
    </w:pPr>
    <w:rPr>
      <w:rFonts w:ascii="Calibri" w:hAnsi="Calibri" w:cs="Times New Roman"/>
      <w:kern w:val="2"/>
      <w:sz w:val="21"/>
      <w:szCs w:val="22"/>
    </w:rPr>
  </w:style>
  <w:style w:type="paragraph" w:styleId="34">
    <w:name w:val="Subtitle"/>
    <w:basedOn w:val="1"/>
    <w:next w:val="1"/>
    <w:link w:val="115"/>
    <w:autoRedefine/>
    <w:qFormat/>
    <w:uiPriority w:val="99"/>
    <w:pPr>
      <w:widowControl w:val="0"/>
      <w:spacing w:before="240" w:after="60" w:line="312" w:lineRule="auto"/>
      <w:jc w:val="center"/>
      <w:outlineLvl w:val="1"/>
    </w:pPr>
    <w:rPr>
      <w:rFonts w:ascii="Cambria" w:hAnsi="Cambria" w:cs="Times New Roman"/>
      <w:b/>
      <w:bCs/>
      <w:kern w:val="28"/>
      <w:sz w:val="32"/>
      <w:szCs w:val="32"/>
    </w:rPr>
  </w:style>
  <w:style w:type="paragraph" w:styleId="35">
    <w:name w:val="footnote text"/>
    <w:basedOn w:val="1"/>
    <w:link w:val="116"/>
    <w:autoRedefine/>
    <w:qFormat/>
    <w:uiPriority w:val="99"/>
    <w:pPr>
      <w:widowControl w:val="0"/>
      <w:jc w:val="both"/>
    </w:pPr>
    <w:rPr>
      <w:rFonts w:ascii="Times New Roman" w:hAnsi="Times New Roman" w:cs="Times New Roman"/>
      <w:sz w:val="20"/>
      <w:szCs w:val="20"/>
    </w:rPr>
  </w:style>
  <w:style w:type="paragraph" w:styleId="36">
    <w:name w:val="toc 6"/>
    <w:basedOn w:val="1"/>
    <w:next w:val="1"/>
    <w:autoRedefine/>
    <w:qFormat/>
    <w:uiPriority w:val="99"/>
    <w:pPr>
      <w:widowControl w:val="0"/>
      <w:ind w:left="2100" w:leftChars="1000"/>
      <w:jc w:val="both"/>
    </w:pPr>
    <w:rPr>
      <w:rFonts w:ascii="Calibri" w:hAnsi="Calibri" w:cs="Times New Roman"/>
      <w:kern w:val="2"/>
      <w:sz w:val="21"/>
      <w:szCs w:val="22"/>
    </w:rPr>
  </w:style>
  <w:style w:type="paragraph" w:styleId="37">
    <w:name w:val="Body Text Indent 3"/>
    <w:basedOn w:val="1"/>
    <w:link w:val="117"/>
    <w:autoRedefine/>
    <w:qFormat/>
    <w:uiPriority w:val="99"/>
    <w:pPr>
      <w:widowControl w:val="0"/>
      <w:spacing w:after="120"/>
      <w:ind w:left="420" w:leftChars="200"/>
      <w:jc w:val="both"/>
    </w:pPr>
    <w:rPr>
      <w:rFonts w:ascii="Times New Roman" w:hAnsi="Times New Roman" w:cs="Times New Roman"/>
      <w:sz w:val="16"/>
      <w:szCs w:val="16"/>
    </w:rPr>
  </w:style>
  <w:style w:type="paragraph" w:styleId="38">
    <w:name w:val="toc 2"/>
    <w:basedOn w:val="1"/>
    <w:next w:val="1"/>
    <w:autoRedefine/>
    <w:qFormat/>
    <w:uiPriority w:val="99"/>
    <w:pPr>
      <w:widowControl w:val="0"/>
      <w:ind w:left="420" w:leftChars="200"/>
      <w:jc w:val="both"/>
    </w:pPr>
    <w:rPr>
      <w:rFonts w:ascii="Times New Roman" w:hAnsi="Times New Roman" w:cs="Times New Roman"/>
      <w:kern w:val="2"/>
      <w:sz w:val="21"/>
      <w:szCs w:val="20"/>
    </w:rPr>
  </w:style>
  <w:style w:type="paragraph" w:styleId="39">
    <w:name w:val="toc 9"/>
    <w:basedOn w:val="1"/>
    <w:next w:val="1"/>
    <w:autoRedefine/>
    <w:qFormat/>
    <w:uiPriority w:val="99"/>
    <w:pPr>
      <w:widowControl w:val="0"/>
      <w:ind w:left="3360" w:leftChars="1600"/>
      <w:jc w:val="both"/>
    </w:pPr>
    <w:rPr>
      <w:rFonts w:ascii="Calibri" w:hAnsi="Calibri" w:cs="Times New Roman"/>
      <w:kern w:val="2"/>
      <w:sz w:val="21"/>
      <w:szCs w:val="22"/>
    </w:rPr>
  </w:style>
  <w:style w:type="paragraph" w:styleId="40">
    <w:name w:val="Body Text 2"/>
    <w:basedOn w:val="1"/>
    <w:link w:val="118"/>
    <w:autoRedefine/>
    <w:qFormat/>
    <w:uiPriority w:val="99"/>
    <w:pPr>
      <w:widowControl w:val="0"/>
    </w:pPr>
    <w:rPr>
      <w:rFonts w:hAnsi="Calibri" w:cs="Times New Roman"/>
      <w:color w:val="000000"/>
      <w:sz w:val="18"/>
      <w:szCs w:val="18"/>
    </w:rPr>
  </w:style>
  <w:style w:type="paragraph" w:styleId="41">
    <w:name w:val="List Continue 2"/>
    <w:basedOn w:val="1"/>
    <w:autoRedefine/>
    <w:qFormat/>
    <w:uiPriority w:val="99"/>
    <w:pPr>
      <w:widowControl w:val="0"/>
      <w:spacing w:after="120"/>
      <w:ind w:left="840" w:leftChars="400"/>
      <w:jc w:val="both"/>
    </w:pPr>
    <w:rPr>
      <w:rFonts w:ascii="Times New Roman" w:hAnsi="Times New Roman" w:cs="Times New Roman"/>
      <w:kern w:val="2"/>
      <w:sz w:val="21"/>
      <w:szCs w:val="20"/>
    </w:rPr>
  </w:style>
  <w:style w:type="paragraph" w:styleId="42">
    <w:name w:val="Normal (Web)"/>
    <w:basedOn w:val="1"/>
    <w:autoRedefine/>
    <w:qFormat/>
    <w:uiPriority w:val="99"/>
    <w:pPr>
      <w:spacing w:before="100" w:beforeAutospacing="1" w:after="100" w:afterAutospacing="1"/>
    </w:pPr>
  </w:style>
  <w:style w:type="paragraph" w:styleId="43">
    <w:name w:val="index 1"/>
    <w:basedOn w:val="1"/>
    <w:next w:val="1"/>
    <w:autoRedefine/>
    <w:qFormat/>
    <w:uiPriority w:val="99"/>
    <w:pPr>
      <w:widowControl w:val="0"/>
      <w:spacing w:line="220" w:lineRule="exact"/>
      <w:jc w:val="center"/>
    </w:pPr>
    <w:rPr>
      <w:rFonts w:ascii="仿宋_GB2312" w:hAnsi="Times New Roman" w:eastAsia="仿宋_GB2312" w:cs="Times New Roman"/>
      <w:kern w:val="2"/>
      <w:sz w:val="21"/>
      <w:szCs w:val="20"/>
    </w:rPr>
  </w:style>
  <w:style w:type="paragraph" w:styleId="44">
    <w:name w:val="Title"/>
    <w:basedOn w:val="1"/>
    <w:link w:val="119"/>
    <w:autoRedefine/>
    <w:qFormat/>
    <w:uiPriority w:val="99"/>
    <w:pPr>
      <w:widowControl w:val="0"/>
      <w:adjustRightInd w:val="0"/>
      <w:spacing w:before="240" w:after="60" w:line="420" w:lineRule="atLeast"/>
      <w:jc w:val="center"/>
      <w:outlineLvl w:val="0"/>
    </w:pPr>
    <w:rPr>
      <w:rFonts w:ascii="Arial" w:hAnsi="Arial" w:cs="Times New Roman"/>
      <w:b/>
      <w:sz w:val="32"/>
      <w:szCs w:val="20"/>
    </w:rPr>
  </w:style>
  <w:style w:type="paragraph" w:styleId="45">
    <w:name w:val="annotation subject"/>
    <w:basedOn w:val="17"/>
    <w:next w:val="17"/>
    <w:link w:val="120"/>
    <w:autoRedefine/>
    <w:qFormat/>
    <w:uiPriority w:val="99"/>
    <w:rPr>
      <w:b/>
      <w:bCs/>
    </w:rPr>
  </w:style>
  <w:style w:type="table" w:styleId="47">
    <w:name w:val="Table Grid"/>
    <w:basedOn w:val="46"/>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99"/>
    <w:rPr>
      <w:rFonts w:cs="Times New Roman"/>
      <w:b/>
    </w:rPr>
  </w:style>
  <w:style w:type="character" w:styleId="50">
    <w:name w:val="page number"/>
    <w:autoRedefine/>
    <w:qFormat/>
    <w:uiPriority w:val="0"/>
    <w:rPr>
      <w:rFonts w:cs="Times New Roman"/>
    </w:rPr>
  </w:style>
  <w:style w:type="character" w:styleId="51">
    <w:name w:val="FollowedHyperlink"/>
    <w:autoRedefine/>
    <w:qFormat/>
    <w:uiPriority w:val="99"/>
    <w:rPr>
      <w:rFonts w:cs="Times New Roman"/>
      <w:color w:val="800080"/>
      <w:u w:val="single"/>
    </w:rPr>
  </w:style>
  <w:style w:type="character" w:styleId="52">
    <w:name w:val="Emphasis"/>
    <w:basedOn w:val="48"/>
    <w:qFormat/>
    <w:uiPriority w:val="20"/>
  </w:style>
  <w:style w:type="character" w:styleId="53">
    <w:name w:val="Hyperlink"/>
    <w:autoRedefine/>
    <w:qFormat/>
    <w:uiPriority w:val="99"/>
    <w:rPr>
      <w:rFonts w:cs="Times New Roman"/>
      <w:color w:val="0000FF"/>
      <w:u w:val="single"/>
    </w:rPr>
  </w:style>
  <w:style w:type="character" w:styleId="54">
    <w:name w:val="annotation reference"/>
    <w:autoRedefine/>
    <w:qFormat/>
    <w:uiPriority w:val="99"/>
    <w:rPr>
      <w:rFonts w:cs="Times New Roman"/>
      <w:sz w:val="21"/>
      <w:szCs w:val="21"/>
    </w:rPr>
  </w:style>
  <w:style w:type="character" w:styleId="55">
    <w:name w:val="footnote reference"/>
    <w:autoRedefine/>
    <w:qFormat/>
    <w:uiPriority w:val="99"/>
    <w:rPr>
      <w:rFonts w:cs="Times New Roman"/>
      <w:vertAlign w:val="superscript"/>
    </w:rPr>
  </w:style>
  <w:style w:type="paragraph" w:customStyle="1" w:styleId="56">
    <w:name w:val="一级"/>
    <w:basedOn w:val="57"/>
    <w:link w:val="136"/>
    <w:autoRedefine/>
    <w:qFormat/>
    <w:uiPriority w:val="0"/>
    <w:pPr>
      <w:widowControl w:val="0"/>
      <w:jc w:val="center"/>
      <w:outlineLvl w:val="0"/>
    </w:pPr>
    <w:rPr>
      <w:rFonts w:ascii="宋体" w:hAnsi="宋体" w:eastAsia="宋体"/>
      <w:kern w:val="0"/>
      <w:sz w:val="32"/>
      <w:szCs w:val="32"/>
    </w:rPr>
  </w:style>
  <w:style w:type="paragraph" w:customStyle="1" w:styleId="57">
    <w:name w:val="样式2"/>
    <w:basedOn w:val="1"/>
    <w:link w:val="137"/>
    <w:autoRedefine/>
    <w:qFormat/>
    <w:uiPriority w:val="0"/>
    <w:pPr>
      <w:widowControl w:val="0"/>
      <w:spacing w:beforeLines="50" w:line="360" w:lineRule="auto"/>
      <w:jc w:val="center"/>
      <w:outlineLvl w:val="0"/>
    </w:pPr>
    <w:rPr>
      <w:rFonts w:ascii="Times New Roman" w:hAnsi="Times New Roman" w:eastAsia="黑体" w:cs="Times New Roman"/>
      <w:b/>
      <w:kern w:val="2"/>
      <w:sz w:val="44"/>
      <w:szCs w:val="44"/>
    </w:rPr>
  </w:style>
  <w:style w:type="paragraph" w:customStyle="1" w:styleId="58">
    <w:name w:val="标题5"/>
    <w:basedOn w:val="6"/>
    <w:link w:val="141"/>
    <w:autoRedefine/>
    <w:qFormat/>
    <w:uiPriority w:val="99"/>
    <w:pPr>
      <w:spacing w:line="412" w:lineRule="auto"/>
    </w:pPr>
    <w:rPr>
      <w:rFonts w:ascii="Arial" w:hAnsi="Arial"/>
      <w:bCs w:val="0"/>
      <w:szCs w:val="20"/>
    </w:rPr>
  </w:style>
  <w:style w:type="paragraph" w:customStyle="1" w:styleId="59">
    <w:name w:val="三级"/>
    <w:basedOn w:val="60"/>
    <w:link w:val="146"/>
    <w:autoRedefine/>
    <w:qFormat/>
    <w:uiPriority w:val="0"/>
    <w:pPr>
      <w:widowControl w:val="0"/>
      <w:tabs>
        <w:tab w:val="left" w:pos="851"/>
      </w:tabs>
      <w:spacing w:after="80" w:line="360" w:lineRule="auto"/>
      <w:ind w:left="851" w:hanging="851"/>
      <w:jc w:val="both"/>
      <w:outlineLvl w:val="3"/>
    </w:pPr>
    <w:rPr>
      <w:rFonts w:ascii="宋体" w:hAnsi="宋体" w:eastAsia="宋体"/>
      <w:szCs w:val="24"/>
    </w:rPr>
  </w:style>
  <w:style w:type="paragraph" w:customStyle="1" w:styleId="60">
    <w:name w:val="A标题4"/>
    <w:basedOn w:val="7"/>
    <w:next w:val="1"/>
    <w:autoRedefine/>
    <w:qFormat/>
    <w:uiPriority w:val="0"/>
    <w:pPr>
      <w:keepNext w:val="0"/>
      <w:keepLines w:val="0"/>
      <w:tabs>
        <w:tab w:val="left" w:pos="851"/>
      </w:tabs>
      <w:spacing w:before="0" w:after="80" w:line="360" w:lineRule="auto"/>
      <w:ind w:left="851" w:hanging="851"/>
    </w:pPr>
    <w:rPr>
      <w:sz w:val="24"/>
    </w:rPr>
  </w:style>
  <w:style w:type="paragraph" w:customStyle="1" w:styleId="61">
    <w:name w:val="样式 标题 2 + Times New Roman 四号 非加粗 段前: 5 磅 段后: 0 磅 行距: 固定值 20..."/>
    <w:basedOn w:val="5"/>
    <w:link w:val="155"/>
    <w:autoRedefine/>
    <w:qFormat/>
    <w:uiPriority w:val="99"/>
    <w:pPr>
      <w:spacing w:before="100" w:after="0" w:line="400" w:lineRule="exact"/>
    </w:pPr>
    <w:rPr>
      <w:rFonts w:ascii="Times New Roman" w:hAnsi="Times New Roman"/>
      <w:b w:val="0"/>
      <w:bCs w:val="0"/>
      <w:sz w:val="20"/>
      <w:szCs w:val="20"/>
    </w:rPr>
  </w:style>
  <w:style w:type="paragraph" w:styleId="62">
    <w:name w:val="Intense Quote"/>
    <w:basedOn w:val="1"/>
    <w:next w:val="1"/>
    <w:link w:val="163"/>
    <w:autoRedefine/>
    <w:qFormat/>
    <w:uiPriority w:val="99"/>
    <w:pPr>
      <w:widowControl w:val="0"/>
      <w:pBdr>
        <w:bottom w:val="single" w:color="4F81BD" w:sz="4" w:space="4"/>
      </w:pBdr>
      <w:spacing w:before="200" w:after="280"/>
      <w:ind w:left="936" w:right="936"/>
      <w:jc w:val="both"/>
    </w:pPr>
    <w:rPr>
      <w:rFonts w:ascii="Calibri" w:hAnsi="Calibri" w:cs="Times New Roman"/>
      <w:b/>
      <w:bCs/>
      <w:i/>
      <w:iCs/>
      <w:color w:val="4F81BD"/>
      <w:sz w:val="20"/>
      <w:szCs w:val="20"/>
    </w:rPr>
  </w:style>
  <w:style w:type="paragraph" w:customStyle="1" w:styleId="63">
    <w:name w:val="正文1"/>
    <w:basedOn w:val="1"/>
    <w:link w:val="164"/>
    <w:autoRedefine/>
    <w:qFormat/>
    <w:uiPriority w:val="99"/>
    <w:pPr>
      <w:widowControl w:val="0"/>
      <w:jc w:val="both"/>
    </w:pPr>
    <w:rPr>
      <w:rFonts w:ascii="Times New Roman" w:hAnsi="Times New Roman" w:cs="Times New Roman"/>
      <w:sz w:val="20"/>
      <w:szCs w:val="20"/>
    </w:rPr>
  </w:style>
  <w:style w:type="paragraph" w:customStyle="1" w:styleId="64">
    <w:name w:val="二级"/>
    <w:basedOn w:val="60"/>
    <w:link w:val="184"/>
    <w:autoRedefine/>
    <w:qFormat/>
    <w:uiPriority w:val="0"/>
    <w:pPr>
      <w:widowControl w:val="0"/>
      <w:spacing w:after="80" w:line="360" w:lineRule="auto"/>
      <w:ind w:left="851" w:hanging="851"/>
      <w:jc w:val="center"/>
      <w:outlineLvl w:val="3"/>
    </w:pPr>
    <w:rPr>
      <w:rFonts w:ascii="宋体" w:hAnsi="宋体" w:eastAsia="宋体"/>
      <w:sz w:val="28"/>
    </w:rPr>
  </w:style>
  <w:style w:type="paragraph" w:styleId="65">
    <w:name w:val="Quote"/>
    <w:basedOn w:val="1"/>
    <w:next w:val="1"/>
    <w:link w:val="189"/>
    <w:autoRedefine/>
    <w:qFormat/>
    <w:uiPriority w:val="99"/>
    <w:pPr>
      <w:widowControl w:val="0"/>
      <w:jc w:val="both"/>
    </w:pPr>
    <w:rPr>
      <w:rFonts w:ascii="Calibri" w:hAnsi="Calibri" w:cs="Times New Roman"/>
      <w:i/>
      <w:iCs/>
      <w:color w:val="000000"/>
      <w:sz w:val="20"/>
      <w:szCs w:val="20"/>
    </w:rPr>
  </w:style>
  <w:style w:type="paragraph" w:customStyle="1" w:styleId="66">
    <w:name w:val="xl29"/>
    <w:basedOn w:val="1"/>
    <w:autoRedefine/>
    <w:qFormat/>
    <w:uiPriority w:val="99"/>
    <w:pPr>
      <w:pBdr>
        <w:bottom w:val="single" w:color="auto" w:sz="4" w:space="0"/>
        <w:right w:val="single" w:color="auto" w:sz="4" w:space="0"/>
      </w:pBdr>
      <w:spacing w:before="100" w:beforeAutospacing="1" w:after="100" w:afterAutospacing="1"/>
      <w:jc w:val="both"/>
      <w:textAlignment w:val="top"/>
    </w:pPr>
    <w:rPr>
      <w:rFonts w:ascii="Arial Unicode MS" w:hAnsi="Arial Unicode MS" w:cs="Times New Roman"/>
    </w:rPr>
  </w:style>
  <w:style w:type="paragraph" w:customStyle="1" w:styleId="67">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8">
    <w:name w:val="编号1"/>
    <w:basedOn w:val="14"/>
    <w:autoRedefine/>
    <w:qFormat/>
    <w:uiPriority w:val="99"/>
    <w:pPr>
      <w:numPr>
        <w:ilvl w:val="0"/>
        <w:numId w:val="1"/>
      </w:numPr>
      <w:tabs>
        <w:tab w:val="left" w:pos="720"/>
      </w:tabs>
      <w:adjustRightInd w:val="0"/>
      <w:snapToGrid w:val="0"/>
      <w:spacing w:before="120" w:line="400" w:lineRule="exact"/>
      <w:ind w:left="720" w:firstLine="0" w:firstLineChars="0"/>
    </w:pPr>
    <w:rPr>
      <w:rFonts w:ascii="Times New Roman" w:hAnsi="Times New Roman"/>
    </w:rPr>
  </w:style>
  <w:style w:type="paragraph" w:customStyle="1" w:styleId="69">
    <w:name w:val="Char Char Char Char Char Char Char Char Char Char"/>
    <w:basedOn w:val="1"/>
    <w:autoRedefine/>
    <w:qFormat/>
    <w:uiPriority w:val="99"/>
    <w:pPr>
      <w:widowControl w:val="0"/>
      <w:jc w:val="both"/>
    </w:pPr>
    <w:rPr>
      <w:rFonts w:ascii="Tahoma" w:hAnsi="Tahoma" w:cs="Times New Roman"/>
      <w:kern w:val="2"/>
      <w:szCs w:val="20"/>
    </w:rPr>
  </w:style>
  <w:style w:type="paragraph" w:customStyle="1" w:styleId="70">
    <w:name w:val="标题1 Char Char Char"/>
    <w:basedOn w:val="4"/>
    <w:autoRedefine/>
    <w:qFormat/>
    <w:uiPriority w:val="0"/>
    <w:pPr>
      <w:tabs>
        <w:tab w:val="center" w:pos="4512"/>
        <w:tab w:val="center" w:pos="4606"/>
      </w:tabs>
      <w:adjustRightInd w:val="0"/>
      <w:snapToGrid w:val="0"/>
      <w:spacing w:beforeLines="50" w:after="240"/>
      <w:jc w:val="center"/>
      <w:outlineLvl w:val="1"/>
    </w:pPr>
    <w:rPr>
      <w:rFonts w:ascii="Calibri" w:hAnsi="Calibri"/>
      <w:bCs w:val="0"/>
      <w:sz w:val="28"/>
      <w:szCs w:val="20"/>
    </w:rPr>
  </w:style>
  <w:style w:type="paragraph" w:customStyle="1" w:styleId="71">
    <w:name w:val="Char Char Char Char Char Char Char Char Char Char Char Char Char"/>
    <w:basedOn w:val="1"/>
    <w:autoRedefine/>
    <w:qFormat/>
    <w:uiPriority w:val="99"/>
    <w:pPr>
      <w:widowControl w:val="0"/>
      <w:jc w:val="both"/>
    </w:pPr>
    <w:rPr>
      <w:rFonts w:ascii="Times New Roman" w:hAnsi="Times New Roman" w:cs="Times New Roman"/>
      <w:kern w:val="2"/>
      <w:sz w:val="21"/>
      <w:szCs w:val="20"/>
    </w:rPr>
  </w:style>
  <w:style w:type="paragraph" w:customStyle="1" w:styleId="72">
    <w:name w:val="表格文字"/>
    <w:basedOn w:val="1"/>
    <w:autoRedefine/>
    <w:qFormat/>
    <w:uiPriority w:val="99"/>
    <w:pPr>
      <w:widowControl w:val="0"/>
      <w:adjustRightInd w:val="0"/>
      <w:spacing w:line="420" w:lineRule="atLeast"/>
    </w:pPr>
    <w:rPr>
      <w:rFonts w:ascii="Times New Roman" w:hAnsi="Times New Roman" w:cs="Times New Roman"/>
      <w:sz w:val="21"/>
      <w:szCs w:val="20"/>
    </w:rPr>
  </w:style>
  <w:style w:type="paragraph" w:styleId="73">
    <w:name w:val="List Paragraph"/>
    <w:basedOn w:val="1"/>
    <w:autoRedefine/>
    <w:qFormat/>
    <w:uiPriority w:val="99"/>
    <w:pPr>
      <w:widowControl w:val="0"/>
      <w:ind w:firstLine="420" w:firstLineChars="200"/>
      <w:jc w:val="both"/>
    </w:pPr>
    <w:rPr>
      <w:rFonts w:ascii="Calibri" w:hAnsi="Calibri" w:cs="Times New Roman"/>
      <w:kern w:val="2"/>
      <w:sz w:val="21"/>
      <w:szCs w:val="22"/>
    </w:rPr>
  </w:style>
  <w:style w:type="paragraph" w:customStyle="1" w:styleId="74">
    <w:name w:val="flNote"/>
    <w:basedOn w:val="1"/>
    <w:autoRedefine/>
    <w:qFormat/>
    <w:uiPriority w:val="99"/>
    <w:pPr>
      <w:widowControl w:val="0"/>
      <w:adjustRightInd w:val="0"/>
      <w:spacing w:before="320" w:after="160" w:line="360" w:lineRule="atLeast"/>
      <w:jc w:val="center"/>
    </w:pPr>
    <w:rPr>
      <w:rFonts w:ascii="Arial" w:hAnsi="Times New Roman" w:eastAsia="黑体" w:cs="Times New Roman"/>
      <w:sz w:val="30"/>
      <w:szCs w:val="20"/>
    </w:rPr>
  </w:style>
  <w:style w:type="paragraph" w:customStyle="1" w:styleId="75">
    <w:name w:val="样式 标题 3 + (中文) 黑体 小四 非加粗 段前: 7.8 磅 段后: 0 磅 行距: 固定值 20 磅"/>
    <w:basedOn w:val="6"/>
    <w:autoRedefine/>
    <w:qFormat/>
    <w:uiPriority w:val="99"/>
    <w:pPr>
      <w:spacing w:before="0" w:after="0" w:line="400" w:lineRule="exact"/>
    </w:pPr>
    <w:rPr>
      <w:rFonts w:eastAsia="黑体" w:cs="宋体"/>
      <w:b w:val="0"/>
      <w:bCs w:val="0"/>
      <w:sz w:val="24"/>
      <w:szCs w:val="20"/>
    </w:rPr>
  </w:style>
  <w:style w:type="paragraph" w:customStyle="1" w:styleId="76">
    <w:name w:val="Char"/>
    <w:basedOn w:val="1"/>
    <w:autoRedefine/>
    <w:qFormat/>
    <w:uiPriority w:val="99"/>
    <w:pPr>
      <w:widowControl w:val="0"/>
      <w:jc w:val="both"/>
    </w:pPr>
    <w:rPr>
      <w:rFonts w:ascii="Times New Roman" w:hAnsi="Times New Roman" w:cs="Times New Roman"/>
      <w:kern w:val="2"/>
      <w:sz w:val="21"/>
      <w:szCs w:val="20"/>
    </w:rPr>
  </w:style>
  <w:style w:type="paragraph" w:styleId="77">
    <w:name w:val="No Spacing"/>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Blockquote"/>
    <w:basedOn w:val="1"/>
    <w:autoRedefine/>
    <w:qFormat/>
    <w:uiPriority w:val="99"/>
    <w:pPr>
      <w:widowControl w:val="0"/>
      <w:autoSpaceDE w:val="0"/>
      <w:autoSpaceDN w:val="0"/>
      <w:adjustRightInd w:val="0"/>
      <w:spacing w:before="100" w:after="100"/>
      <w:ind w:left="360" w:right="360"/>
    </w:pPr>
    <w:rPr>
      <w:rFonts w:ascii="Times New Roman" w:hAnsi="Times New Roman" w:cs="Times New Roman"/>
      <w:szCs w:val="20"/>
    </w:rPr>
  </w:style>
  <w:style w:type="paragraph" w:customStyle="1" w:styleId="79">
    <w:name w:val="reader-word-layer"/>
    <w:basedOn w:val="1"/>
    <w:autoRedefine/>
    <w:qFormat/>
    <w:uiPriority w:val="99"/>
    <w:pPr>
      <w:spacing w:before="100" w:beforeAutospacing="1" w:after="100" w:afterAutospacing="1"/>
    </w:pPr>
  </w:style>
  <w:style w:type="paragraph" w:customStyle="1" w:styleId="80">
    <w:name w:val="_Style 78"/>
    <w:basedOn w:val="4"/>
    <w:next w:val="1"/>
    <w:autoRedefine/>
    <w:qFormat/>
    <w:uiPriority w:val="99"/>
    <w:pPr>
      <w:outlineLvl w:val="9"/>
    </w:pPr>
    <w:rPr>
      <w:rFonts w:ascii="Calibri" w:hAnsi="Calibri"/>
    </w:rPr>
  </w:style>
  <w:style w:type="paragraph" w:customStyle="1" w:styleId="81">
    <w:name w:val="p0"/>
    <w:basedOn w:val="1"/>
    <w:autoRedefine/>
    <w:qFormat/>
    <w:uiPriority w:val="99"/>
    <w:pPr>
      <w:jc w:val="both"/>
    </w:pPr>
    <w:rPr>
      <w:rFonts w:ascii="Times New Roman" w:hAnsi="Times New Roman" w:cs="Times New Roman"/>
      <w:sz w:val="21"/>
      <w:szCs w:val="21"/>
    </w:rPr>
  </w:style>
  <w:style w:type="paragraph" w:customStyle="1" w:styleId="82">
    <w:name w:val="样式 正文缩进正文（首行缩进两字）特点ALT+Z表正文正文非缩进四号段1Normal Indent Char2...4"/>
    <w:basedOn w:val="3"/>
    <w:autoRedefine/>
    <w:qFormat/>
    <w:uiPriority w:val="99"/>
    <w:pPr>
      <w:tabs>
        <w:tab w:val="left" w:pos="510"/>
      </w:tabs>
      <w:adjustRightInd w:val="0"/>
      <w:spacing w:line="300" w:lineRule="auto"/>
      <w:ind w:left="0" w:leftChars="0" w:hanging="420"/>
    </w:pPr>
    <w:rPr>
      <w:rFonts w:ascii="Courier New" w:hAnsi="Arial" w:cs="Courier New"/>
      <w:color w:val="000000"/>
      <w:szCs w:val="20"/>
    </w:rPr>
  </w:style>
  <w:style w:type="paragraph" w:customStyle="1" w:styleId="83">
    <w:name w:val="样式1"/>
    <w:basedOn w:val="1"/>
    <w:next w:val="7"/>
    <w:autoRedefine/>
    <w:qFormat/>
    <w:uiPriority w:val="99"/>
    <w:pPr>
      <w:widowControl w:val="0"/>
      <w:spacing w:line="360" w:lineRule="auto"/>
      <w:ind w:firstLine="420" w:firstLineChars="200"/>
      <w:jc w:val="both"/>
    </w:pPr>
    <w:rPr>
      <w:rFonts w:cs="Times New Roman"/>
      <w:kern w:val="2"/>
      <w:sz w:val="21"/>
      <w:szCs w:val="21"/>
    </w:rPr>
  </w:style>
  <w:style w:type="paragraph" w:customStyle="1" w:styleId="84">
    <w:name w:val="默认段落字体 Para Char Char Char Char Char Char Char Char Char1 Char Char Char Char Char Char Char"/>
    <w:basedOn w:val="16"/>
    <w:autoRedefine/>
    <w:qFormat/>
    <w:uiPriority w:val="99"/>
    <w:rPr>
      <w:rFonts w:ascii="Tahoma" w:hAnsi="Tahoma"/>
    </w:rPr>
  </w:style>
  <w:style w:type="paragraph" w:customStyle="1" w:styleId="85">
    <w:name w:val="列出段落1"/>
    <w:basedOn w:val="1"/>
    <w:autoRedefine/>
    <w:qFormat/>
    <w:uiPriority w:val="99"/>
    <w:pPr>
      <w:widowControl w:val="0"/>
      <w:ind w:firstLine="420" w:firstLineChars="200"/>
      <w:jc w:val="both"/>
    </w:pPr>
    <w:rPr>
      <w:rFonts w:ascii="Calibri" w:hAnsi="Calibri" w:cs="Times New Roman"/>
      <w:kern w:val="2"/>
      <w:sz w:val="21"/>
      <w:szCs w:val="22"/>
    </w:rPr>
  </w:style>
  <w:style w:type="paragraph" w:customStyle="1" w:styleId="86">
    <w:name w:val="正文文字编号黑体"/>
    <w:basedOn w:val="1"/>
    <w:autoRedefine/>
    <w:qFormat/>
    <w:uiPriority w:val="99"/>
    <w:pPr>
      <w:widowControl w:val="0"/>
      <w:tabs>
        <w:tab w:val="left" w:pos="1134"/>
      </w:tabs>
      <w:overflowPunct w:val="0"/>
      <w:autoSpaceDE w:val="0"/>
      <w:autoSpaceDN w:val="0"/>
      <w:adjustRightInd w:val="0"/>
      <w:snapToGrid w:val="0"/>
      <w:spacing w:before="120" w:afterLines="50" w:line="360" w:lineRule="exact"/>
      <w:ind w:left="1134" w:hanging="1134"/>
      <w:jc w:val="both"/>
      <w:textAlignment w:val="baseline"/>
    </w:pPr>
    <w:rPr>
      <w:rFonts w:ascii="Times New Roman" w:hAnsi="Times New Roman" w:cs="Times New Roman"/>
      <w:b/>
    </w:rPr>
  </w:style>
  <w:style w:type="paragraph" w:customStyle="1" w:styleId="87">
    <w:name w:val="1"/>
    <w:basedOn w:val="1"/>
    <w:next w:val="1"/>
    <w:autoRedefine/>
    <w:qFormat/>
    <w:uiPriority w:val="99"/>
    <w:pPr>
      <w:widowControl w:val="0"/>
      <w:jc w:val="both"/>
    </w:pPr>
    <w:rPr>
      <w:rFonts w:ascii="Times New Roman" w:hAnsi="Times New Roman" w:cs="Times New Roman"/>
      <w:kern w:val="2"/>
      <w:sz w:val="21"/>
    </w:rPr>
  </w:style>
  <w:style w:type="paragraph" w:customStyle="1" w:styleId="88">
    <w:name w:val="样式 标题 1 + 黑体 三号 非加粗 居中 段前: 6 磅 段后: 6 磅 行距: 固定值 20 磅"/>
    <w:basedOn w:val="4"/>
    <w:autoRedefine/>
    <w:qFormat/>
    <w:uiPriority w:val="99"/>
    <w:pPr>
      <w:spacing w:before="120" w:after="120" w:line="400" w:lineRule="exact"/>
      <w:jc w:val="center"/>
    </w:pPr>
    <w:rPr>
      <w:rFonts w:ascii="黑体" w:hAnsi="黑体" w:eastAsia="黑体" w:cs="宋体"/>
      <w:b w:val="0"/>
      <w:bCs w:val="0"/>
      <w:sz w:val="32"/>
      <w:szCs w:val="20"/>
    </w:rPr>
  </w:style>
  <w:style w:type="paragraph" w:customStyle="1" w:styleId="89">
    <w:name w:val="空半行"/>
    <w:basedOn w:val="1"/>
    <w:autoRedefine/>
    <w:qFormat/>
    <w:uiPriority w:val="99"/>
    <w:pPr>
      <w:widowControl w:val="0"/>
      <w:adjustRightInd w:val="0"/>
      <w:spacing w:line="120" w:lineRule="exact"/>
      <w:jc w:val="both"/>
    </w:pPr>
    <w:rPr>
      <w:rFonts w:ascii="Times New Roman" w:hAnsi="Times New Roman" w:eastAsia="仿宋_GB2312" w:cs="Times New Roman"/>
      <w:color w:val="FFFFFF"/>
      <w:sz w:val="30"/>
      <w:szCs w:val="20"/>
    </w:rPr>
  </w:style>
  <w:style w:type="paragraph" w:customStyle="1" w:styleId="90">
    <w:name w:val="表格"/>
    <w:basedOn w:val="1"/>
    <w:autoRedefine/>
    <w:qFormat/>
    <w:uiPriority w:val="99"/>
    <w:pPr>
      <w:widowControl w:val="0"/>
      <w:jc w:val="center"/>
    </w:pPr>
    <w:rPr>
      <w:rFonts w:ascii="华文细黑" w:hAnsi="华文细黑" w:cs="Times New Roman"/>
      <w:sz w:val="21"/>
      <w:szCs w:val="20"/>
    </w:rPr>
  </w:style>
  <w:style w:type="paragraph" w:customStyle="1" w:styleId="91">
    <w:name w:val="6'"/>
    <w:basedOn w:val="1"/>
    <w:autoRedefine/>
    <w:qFormat/>
    <w:uiPriority w:val="99"/>
    <w:pPr>
      <w:widowControl w:val="0"/>
      <w:autoSpaceDE w:val="0"/>
      <w:autoSpaceDN w:val="0"/>
      <w:adjustRightInd w:val="0"/>
      <w:snapToGrid w:val="0"/>
      <w:spacing w:line="320" w:lineRule="exact"/>
      <w:jc w:val="center"/>
    </w:pPr>
    <w:rPr>
      <w:rFonts w:ascii="Times New Roman" w:hAnsi="Times New Roman" w:cs="Times New Roman"/>
      <w:spacing w:val="20"/>
      <w:kern w:val="28"/>
      <w:sz w:val="21"/>
      <w:szCs w:val="20"/>
    </w:rPr>
  </w:style>
  <w:style w:type="character" w:customStyle="1" w:styleId="92">
    <w:name w:val="正文文本缩进 Char"/>
    <w:link w:val="3"/>
    <w:autoRedefine/>
    <w:qFormat/>
    <w:uiPriority w:val="99"/>
    <w:rPr>
      <w:rFonts w:ascii="Times New Roman" w:hAnsi="Times New Roman" w:eastAsia="宋体" w:cs="Times New Roman"/>
      <w:kern w:val="0"/>
      <w:sz w:val="24"/>
      <w:szCs w:val="24"/>
    </w:rPr>
  </w:style>
  <w:style w:type="character" w:customStyle="1" w:styleId="93">
    <w:name w:val="正文首行缩进 2 Char"/>
    <w:basedOn w:val="92"/>
    <w:link w:val="2"/>
    <w:autoRedefine/>
    <w:qFormat/>
    <w:uiPriority w:val="99"/>
  </w:style>
  <w:style w:type="character" w:customStyle="1" w:styleId="94">
    <w:name w:val="标题 1 Char"/>
    <w:link w:val="4"/>
    <w:autoRedefine/>
    <w:qFormat/>
    <w:uiPriority w:val="99"/>
    <w:rPr>
      <w:rFonts w:ascii="Times New Roman" w:hAnsi="Times New Roman" w:eastAsia="宋体" w:cs="Times New Roman"/>
      <w:b/>
      <w:bCs/>
      <w:kern w:val="44"/>
      <w:sz w:val="44"/>
      <w:szCs w:val="44"/>
    </w:rPr>
  </w:style>
  <w:style w:type="character" w:customStyle="1" w:styleId="95">
    <w:name w:val="标题 2 Char1"/>
    <w:link w:val="5"/>
    <w:autoRedefine/>
    <w:qFormat/>
    <w:locked/>
    <w:uiPriority w:val="99"/>
    <w:rPr>
      <w:rFonts w:ascii="Arial" w:hAnsi="Arial" w:eastAsia="黑体" w:cs="Times New Roman"/>
      <w:b/>
      <w:bCs/>
      <w:sz w:val="32"/>
      <w:szCs w:val="32"/>
    </w:rPr>
  </w:style>
  <w:style w:type="character" w:customStyle="1" w:styleId="96">
    <w:name w:val="标题 3 Char"/>
    <w:link w:val="6"/>
    <w:autoRedefine/>
    <w:qFormat/>
    <w:uiPriority w:val="99"/>
    <w:rPr>
      <w:rFonts w:ascii="宋体" w:hAnsi="宋体" w:eastAsia="宋体" w:cs="宋体"/>
      <w:b/>
      <w:bCs/>
      <w:kern w:val="0"/>
      <w:sz w:val="32"/>
      <w:szCs w:val="32"/>
    </w:rPr>
  </w:style>
  <w:style w:type="character" w:customStyle="1" w:styleId="97">
    <w:name w:val="标题 4 Char"/>
    <w:link w:val="7"/>
    <w:autoRedefine/>
    <w:qFormat/>
    <w:uiPriority w:val="99"/>
    <w:rPr>
      <w:rFonts w:ascii="Arial" w:hAnsi="Arial" w:eastAsia="黑体" w:cs="Times New Roman"/>
      <w:b/>
      <w:bCs/>
      <w:sz w:val="28"/>
      <w:szCs w:val="28"/>
    </w:rPr>
  </w:style>
  <w:style w:type="character" w:customStyle="1" w:styleId="98">
    <w:name w:val="标题 5 Char"/>
    <w:link w:val="8"/>
    <w:autoRedefine/>
    <w:qFormat/>
    <w:uiPriority w:val="99"/>
    <w:rPr>
      <w:rFonts w:ascii="Times New Roman" w:hAnsi="Times New Roman" w:eastAsia="宋体" w:cs="Times New Roman"/>
      <w:b/>
      <w:sz w:val="28"/>
      <w:szCs w:val="20"/>
    </w:rPr>
  </w:style>
  <w:style w:type="character" w:customStyle="1" w:styleId="99">
    <w:name w:val="标题 6 Char"/>
    <w:link w:val="9"/>
    <w:autoRedefine/>
    <w:qFormat/>
    <w:uiPriority w:val="99"/>
    <w:rPr>
      <w:rFonts w:ascii="Arial" w:hAnsi="Arial" w:eastAsia="黑体" w:cs="Times New Roman"/>
      <w:b/>
      <w:bCs/>
      <w:kern w:val="0"/>
      <w:sz w:val="24"/>
      <w:szCs w:val="24"/>
    </w:rPr>
  </w:style>
  <w:style w:type="character" w:customStyle="1" w:styleId="100">
    <w:name w:val="标题 7 Char"/>
    <w:link w:val="10"/>
    <w:autoRedefine/>
    <w:qFormat/>
    <w:uiPriority w:val="99"/>
    <w:rPr>
      <w:rFonts w:ascii="Times New Roman" w:hAnsi="Times New Roman" w:eastAsia="宋体" w:cs="Times New Roman"/>
      <w:b/>
      <w:bCs/>
      <w:kern w:val="0"/>
      <w:sz w:val="24"/>
      <w:szCs w:val="24"/>
    </w:rPr>
  </w:style>
  <w:style w:type="character" w:customStyle="1" w:styleId="101">
    <w:name w:val="标题 8 Char"/>
    <w:link w:val="11"/>
    <w:autoRedefine/>
    <w:qFormat/>
    <w:uiPriority w:val="99"/>
    <w:rPr>
      <w:rFonts w:ascii="Arial" w:hAnsi="Arial" w:eastAsia="黑体" w:cs="Times New Roman"/>
      <w:kern w:val="0"/>
      <w:sz w:val="24"/>
      <w:szCs w:val="24"/>
    </w:rPr>
  </w:style>
  <w:style w:type="character" w:customStyle="1" w:styleId="102">
    <w:name w:val="标题 9 Char"/>
    <w:link w:val="12"/>
    <w:autoRedefine/>
    <w:qFormat/>
    <w:uiPriority w:val="99"/>
    <w:rPr>
      <w:rFonts w:ascii="Arial" w:hAnsi="Arial" w:eastAsia="黑体" w:cs="Times New Roman"/>
      <w:kern w:val="0"/>
      <w:szCs w:val="21"/>
    </w:rPr>
  </w:style>
  <w:style w:type="character" w:customStyle="1" w:styleId="103">
    <w:name w:val="正文缩进 Char"/>
    <w:link w:val="14"/>
    <w:autoRedefine/>
    <w:qFormat/>
    <w:locked/>
    <w:uiPriority w:val="99"/>
    <w:rPr>
      <w:rFonts w:ascii="宋体" w:hAnsi="宋体" w:eastAsia="宋体"/>
      <w:sz w:val="24"/>
    </w:rPr>
  </w:style>
  <w:style w:type="character" w:customStyle="1" w:styleId="104">
    <w:name w:val="文档结构图 Char"/>
    <w:link w:val="16"/>
    <w:autoRedefine/>
    <w:qFormat/>
    <w:uiPriority w:val="99"/>
    <w:rPr>
      <w:rFonts w:ascii="Times New Roman" w:hAnsi="Times New Roman" w:eastAsia="宋体" w:cs="Times New Roman"/>
      <w:kern w:val="0"/>
      <w:sz w:val="24"/>
      <w:szCs w:val="24"/>
      <w:shd w:val="clear" w:color="auto" w:fill="000080"/>
    </w:rPr>
  </w:style>
  <w:style w:type="character" w:customStyle="1" w:styleId="105">
    <w:name w:val="批注文字 Char1"/>
    <w:link w:val="17"/>
    <w:autoRedefine/>
    <w:qFormat/>
    <w:uiPriority w:val="99"/>
    <w:rPr>
      <w:rFonts w:ascii="Calibri" w:hAnsi="Calibri" w:eastAsia="宋体" w:cs="Times New Roman"/>
      <w:kern w:val="0"/>
      <w:sz w:val="24"/>
      <w:szCs w:val="24"/>
    </w:rPr>
  </w:style>
  <w:style w:type="character" w:customStyle="1" w:styleId="106">
    <w:name w:val="称呼 Char"/>
    <w:link w:val="18"/>
    <w:autoRedefine/>
    <w:qFormat/>
    <w:uiPriority w:val="99"/>
    <w:rPr>
      <w:rFonts w:ascii="Times New Roman" w:hAnsi="Times New Roman" w:eastAsia="宋体" w:cs="Times New Roman"/>
      <w:sz w:val="28"/>
      <w:szCs w:val="24"/>
    </w:rPr>
  </w:style>
  <w:style w:type="character" w:customStyle="1" w:styleId="107">
    <w:name w:val="正文文本 3 Char"/>
    <w:link w:val="19"/>
    <w:autoRedefine/>
    <w:qFormat/>
    <w:uiPriority w:val="99"/>
    <w:rPr>
      <w:rFonts w:ascii="宋体" w:hAnsi="Times New Roman" w:eastAsia="宋体" w:cs="Times New Roman"/>
      <w:kern w:val="0"/>
      <w:sz w:val="20"/>
      <w:szCs w:val="20"/>
    </w:rPr>
  </w:style>
  <w:style w:type="character" w:customStyle="1" w:styleId="108">
    <w:name w:val="正文文本 Char"/>
    <w:link w:val="20"/>
    <w:autoRedefine/>
    <w:qFormat/>
    <w:uiPriority w:val="99"/>
    <w:rPr>
      <w:rFonts w:ascii="Times New Roman" w:hAnsi="Times New Roman" w:eastAsia="宋体" w:cs="Times New Roman"/>
      <w:kern w:val="0"/>
      <w:sz w:val="24"/>
      <w:szCs w:val="24"/>
    </w:rPr>
  </w:style>
  <w:style w:type="character" w:customStyle="1" w:styleId="109">
    <w:name w:val="纯文本 Char1"/>
    <w:link w:val="25"/>
    <w:autoRedefine/>
    <w:qFormat/>
    <w:uiPriority w:val="99"/>
    <w:rPr>
      <w:rFonts w:ascii="宋体" w:hAnsi="Courier New" w:eastAsia="宋体" w:cs="Times New Roman"/>
      <w:kern w:val="0"/>
      <w:sz w:val="20"/>
      <w:szCs w:val="20"/>
    </w:rPr>
  </w:style>
  <w:style w:type="character" w:customStyle="1" w:styleId="110">
    <w:name w:val="日期 Char"/>
    <w:link w:val="27"/>
    <w:autoRedefine/>
    <w:qFormat/>
    <w:uiPriority w:val="99"/>
    <w:rPr>
      <w:rFonts w:ascii="Times New Roman" w:hAnsi="Times New Roman" w:eastAsia="宋体" w:cs="Times New Roman"/>
      <w:kern w:val="0"/>
      <w:sz w:val="24"/>
      <w:szCs w:val="24"/>
    </w:rPr>
  </w:style>
  <w:style w:type="character" w:customStyle="1" w:styleId="111">
    <w:name w:val="正文文本缩进 2 Char"/>
    <w:link w:val="28"/>
    <w:autoRedefine/>
    <w:qFormat/>
    <w:uiPriority w:val="99"/>
    <w:rPr>
      <w:rFonts w:ascii="Times New Roman" w:hAnsi="Times New Roman" w:eastAsia="宋体" w:cs="Times New Roman"/>
      <w:kern w:val="0"/>
      <w:sz w:val="24"/>
      <w:szCs w:val="24"/>
    </w:rPr>
  </w:style>
  <w:style w:type="character" w:customStyle="1" w:styleId="112">
    <w:name w:val="批注框文本 Char"/>
    <w:link w:val="29"/>
    <w:autoRedefine/>
    <w:qFormat/>
    <w:uiPriority w:val="99"/>
    <w:rPr>
      <w:rFonts w:ascii="Calibri" w:hAnsi="Calibri" w:eastAsia="宋体" w:cs="Times New Roman"/>
      <w:sz w:val="18"/>
      <w:szCs w:val="18"/>
    </w:rPr>
  </w:style>
  <w:style w:type="character" w:customStyle="1" w:styleId="113">
    <w:name w:val="页脚 Char"/>
    <w:link w:val="30"/>
    <w:autoRedefine/>
    <w:qFormat/>
    <w:uiPriority w:val="99"/>
    <w:rPr>
      <w:sz w:val="18"/>
      <w:szCs w:val="18"/>
    </w:rPr>
  </w:style>
  <w:style w:type="character" w:customStyle="1" w:styleId="114">
    <w:name w:val="页眉 Char"/>
    <w:link w:val="31"/>
    <w:autoRedefine/>
    <w:semiHidden/>
    <w:qFormat/>
    <w:uiPriority w:val="99"/>
    <w:rPr>
      <w:sz w:val="18"/>
      <w:szCs w:val="18"/>
    </w:rPr>
  </w:style>
  <w:style w:type="character" w:customStyle="1" w:styleId="115">
    <w:name w:val="副标题 Char1"/>
    <w:link w:val="34"/>
    <w:autoRedefine/>
    <w:qFormat/>
    <w:uiPriority w:val="99"/>
    <w:rPr>
      <w:rFonts w:ascii="Cambria" w:hAnsi="Cambria" w:eastAsia="宋体" w:cs="Times New Roman"/>
      <w:b/>
      <w:bCs/>
      <w:kern w:val="28"/>
      <w:sz w:val="32"/>
      <w:szCs w:val="32"/>
    </w:rPr>
  </w:style>
  <w:style w:type="character" w:customStyle="1" w:styleId="116">
    <w:name w:val="脚注文本 Char"/>
    <w:link w:val="35"/>
    <w:autoRedefine/>
    <w:qFormat/>
    <w:uiPriority w:val="99"/>
    <w:rPr>
      <w:rFonts w:ascii="Times New Roman" w:hAnsi="Times New Roman" w:eastAsia="宋体" w:cs="Times New Roman"/>
      <w:kern w:val="0"/>
      <w:sz w:val="20"/>
      <w:szCs w:val="20"/>
    </w:rPr>
  </w:style>
  <w:style w:type="character" w:customStyle="1" w:styleId="117">
    <w:name w:val="正文文本缩进 3 Char"/>
    <w:link w:val="37"/>
    <w:autoRedefine/>
    <w:qFormat/>
    <w:uiPriority w:val="99"/>
    <w:rPr>
      <w:rFonts w:ascii="Times New Roman" w:hAnsi="Times New Roman" w:eastAsia="宋体" w:cs="Times New Roman"/>
      <w:kern w:val="0"/>
      <w:sz w:val="16"/>
      <w:szCs w:val="16"/>
    </w:rPr>
  </w:style>
  <w:style w:type="character" w:customStyle="1" w:styleId="118">
    <w:name w:val="正文文本 2 Char1"/>
    <w:link w:val="40"/>
    <w:autoRedefine/>
    <w:qFormat/>
    <w:uiPriority w:val="99"/>
    <w:rPr>
      <w:rFonts w:ascii="宋体" w:hAnsi="Calibri" w:eastAsia="宋体" w:cs="Times New Roman"/>
      <w:color w:val="000000"/>
      <w:kern w:val="0"/>
      <w:sz w:val="18"/>
      <w:szCs w:val="18"/>
    </w:rPr>
  </w:style>
  <w:style w:type="character" w:customStyle="1" w:styleId="119">
    <w:name w:val="标题 Char1"/>
    <w:link w:val="44"/>
    <w:autoRedefine/>
    <w:qFormat/>
    <w:uiPriority w:val="99"/>
    <w:rPr>
      <w:rFonts w:ascii="Arial" w:hAnsi="Arial" w:eastAsia="宋体" w:cs="Times New Roman"/>
      <w:b/>
      <w:kern w:val="0"/>
      <w:sz w:val="32"/>
      <w:szCs w:val="20"/>
    </w:rPr>
  </w:style>
  <w:style w:type="character" w:customStyle="1" w:styleId="120">
    <w:name w:val="批注主题 Char2"/>
    <w:link w:val="45"/>
    <w:autoRedefine/>
    <w:qFormat/>
    <w:uiPriority w:val="99"/>
    <w:rPr>
      <w:rFonts w:ascii="Calibri" w:hAnsi="Calibri" w:eastAsia="宋体" w:cs="Times New Roman"/>
      <w:b/>
      <w:bCs/>
      <w:kern w:val="0"/>
      <w:sz w:val="24"/>
      <w:szCs w:val="24"/>
    </w:rPr>
  </w:style>
  <w:style w:type="character" w:customStyle="1" w:styleId="121">
    <w:name w:val="Document Map Char"/>
    <w:autoRedefine/>
    <w:qFormat/>
    <w:locked/>
    <w:uiPriority w:val="99"/>
    <w:rPr>
      <w:rFonts w:ascii="Times New Roman" w:hAnsi="Times New Roman" w:eastAsia="宋体" w:cs="Times New Roman"/>
      <w:sz w:val="24"/>
      <w:szCs w:val="24"/>
      <w:shd w:val="clear" w:color="auto" w:fill="000080"/>
    </w:rPr>
  </w:style>
  <w:style w:type="character" w:customStyle="1" w:styleId="122">
    <w:name w:val="标题 Char"/>
    <w:autoRedefine/>
    <w:qFormat/>
    <w:uiPriority w:val="99"/>
    <w:rPr>
      <w:rFonts w:ascii="Cambria" w:hAnsi="Cambria" w:eastAsia="宋体" w:cs="Times New Roman"/>
      <w:b/>
      <w:bCs/>
      <w:sz w:val="32"/>
      <w:szCs w:val="32"/>
    </w:rPr>
  </w:style>
  <w:style w:type="character" w:customStyle="1" w:styleId="123">
    <w:name w:val="Char Char12"/>
    <w:autoRedefine/>
    <w:qFormat/>
    <w:locked/>
    <w:uiPriority w:val="99"/>
    <w:rPr>
      <w:rFonts w:ascii="宋体" w:hAnsi="宋体" w:eastAsia="宋体"/>
      <w:kern w:val="2"/>
      <w:sz w:val="24"/>
    </w:rPr>
  </w:style>
  <w:style w:type="character" w:customStyle="1" w:styleId="124">
    <w:name w:val="正文文本 3 Char1"/>
    <w:autoRedefine/>
    <w:qFormat/>
    <w:uiPriority w:val="99"/>
    <w:rPr>
      <w:rFonts w:cs="Times New Roman"/>
      <w:kern w:val="2"/>
      <w:sz w:val="16"/>
      <w:szCs w:val="16"/>
    </w:rPr>
  </w:style>
  <w:style w:type="character" w:customStyle="1" w:styleId="125">
    <w:name w:val="Char Char7"/>
    <w:autoRedefine/>
    <w:qFormat/>
    <w:uiPriority w:val="99"/>
    <w:rPr>
      <w:rFonts w:ascii="Arial" w:hAnsi="Arial" w:eastAsia="黑体"/>
      <w:b/>
      <w:kern w:val="2"/>
      <w:sz w:val="32"/>
      <w:lang w:val="en-US" w:eastAsia="zh-CN"/>
    </w:rPr>
  </w:style>
  <w:style w:type="character" w:customStyle="1" w:styleId="126">
    <w:name w:val="Body Text Indent Char"/>
    <w:autoRedefine/>
    <w:qFormat/>
    <w:locked/>
    <w:uiPriority w:val="99"/>
    <w:rPr>
      <w:rFonts w:ascii="Times New Roman" w:hAnsi="Times New Roman" w:eastAsia="宋体" w:cs="Times New Roman"/>
      <w:sz w:val="24"/>
      <w:szCs w:val="24"/>
    </w:rPr>
  </w:style>
  <w:style w:type="character" w:customStyle="1" w:styleId="127">
    <w:name w:val="正文文本缩进 2 Char1"/>
    <w:autoRedefine/>
    <w:qFormat/>
    <w:uiPriority w:val="99"/>
    <w:rPr>
      <w:rFonts w:cs="Times New Roman"/>
      <w:kern w:val="2"/>
      <w:sz w:val="24"/>
      <w:szCs w:val="24"/>
    </w:rPr>
  </w:style>
  <w:style w:type="character" w:customStyle="1" w:styleId="128">
    <w:name w:val="正文文本 Char1"/>
    <w:autoRedefine/>
    <w:qFormat/>
    <w:uiPriority w:val="99"/>
    <w:rPr>
      <w:kern w:val="2"/>
      <w:sz w:val="22"/>
    </w:rPr>
  </w:style>
  <w:style w:type="character" w:customStyle="1" w:styleId="129">
    <w:name w:val="Char Char3"/>
    <w:autoRedefine/>
    <w:qFormat/>
    <w:locked/>
    <w:uiPriority w:val="99"/>
    <w:rPr>
      <w:rFonts w:ascii="宋体" w:hAnsi="宋体" w:eastAsia="宋体"/>
      <w:kern w:val="2"/>
      <w:sz w:val="24"/>
      <w:lang w:val="en-US" w:eastAsia="zh-CN"/>
    </w:rPr>
  </w:style>
  <w:style w:type="character" w:customStyle="1" w:styleId="130">
    <w:name w:val="文档结构图 Char1"/>
    <w:autoRedefine/>
    <w:qFormat/>
    <w:uiPriority w:val="99"/>
    <w:rPr>
      <w:rFonts w:ascii="宋体" w:hAnsi="宋体" w:eastAsia="宋体"/>
      <w:kern w:val="2"/>
      <w:sz w:val="18"/>
    </w:rPr>
  </w:style>
  <w:style w:type="character" w:customStyle="1" w:styleId="131">
    <w:name w:val="批注框文本 Char1"/>
    <w:autoRedefine/>
    <w:qFormat/>
    <w:uiPriority w:val="99"/>
    <w:rPr>
      <w:kern w:val="2"/>
      <w:sz w:val="18"/>
    </w:rPr>
  </w:style>
  <w:style w:type="character" w:customStyle="1" w:styleId="132">
    <w:name w:val="_Style 130"/>
    <w:autoRedefine/>
    <w:qFormat/>
    <w:uiPriority w:val="99"/>
    <w:rPr>
      <w:i/>
      <w:color w:val="808080"/>
    </w:rPr>
  </w:style>
  <w:style w:type="character" w:customStyle="1" w:styleId="133">
    <w:name w:val="批注主题 Char"/>
    <w:autoRedefine/>
    <w:qFormat/>
    <w:uiPriority w:val="99"/>
    <w:rPr>
      <w:rFonts w:ascii="Times New Roman" w:hAnsi="Times New Roman" w:eastAsia="宋体" w:cs="Times New Roman"/>
      <w:b/>
      <w:bCs/>
      <w:sz w:val="24"/>
      <w:szCs w:val="24"/>
    </w:rPr>
  </w:style>
  <w:style w:type="character" w:customStyle="1" w:styleId="134">
    <w:name w:val="Quote Char"/>
    <w:autoRedefine/>
    <w:qFormat/>
    <w:locked/>
    <w:uiPriority w:val="99"/>
    <w:rPr>
      <w:rFonts w:cs="Times New Roman"/>
      <w:i/>
      <w:iCs/>
      <w:color w:val="000000"/>
    </w:rPr>
  </w:style>
  <w:style w:type="character" w:customStyle="1" w:styleId="135">
    <w:name w:val="Char Char2"/>
    <w:autoRedefine/>
    <w:qFormat/>
    <w:locked/>
    <w:uiPriority w:val="99"/>
    <w:rPr>
      <w:rFonts w:ascii="宋体" w:hAnsi="宋体" w:eastAsia="宋体"/>
      <w:kern w:val="2"/>
      <w:sz w:val="24"/>
      <w:lang w:val="en-US" w:eastAsia="zh-CN"/>
    </w:rPr>
  </w:style>
  <w:style w:type="character" w:customStyle="1" w:styleId="136">
    <w:name w:val="一级 Char"/>
    <w:link w:val="56"/>
    <w:autoRedefine/>
    <w:qFormat/>
    <w:uiPriority w:val="0"/>
    <w:rPr>
      <w:rFonts w:ascii="宋体" w:hAnsi="宋体"/>
      <w:b/>
      <w:sz w:val="32"/>
      <w:szCs w:val="32"/>
    </w:rPr>
  </w:style>
  <w:style w:type="character" w:customStyle="1" w:styleId="137">
    <w:name w:val="样式2 Char"/>
    <w:link w:val="57"/>
    <w:autoRedefine/>
    <w:qFormat/>
    <w:locked/>
    <w:uiPriority w:val="0"/>
    <w:rPr>
      <w:rFonts w:ascii="Times New Roman" w:hAnsi="Times New Roman" w:eastAsia="黑体"/>
      <w:b/>
      <w:kern w:val="2"/>
      <w:sz w:val="44"/>
      <w:szCs w:val="44"/>
    </w:rPr>
  </w:style>
  <w:style w:type="character" w:customStyle="1" w:styleId="138">
    <w:name w:val="Intense Quote Char"/>
    <w:autoRedefine/>
    <w:qFormat/>
    <w:locked/>
    <w:uiPriority w:val="99"/>
    <w:rPr>
      <w:rFonts w:cs="Times New Roman"/>
      <w:b/>
      <w:bCs/>
      <w:i/>
      <w:iCs/>
      <w:color w:val="4F81BD"/>
    </w:rPr>
  </w:style>
  <w:style w:type="character" w:customStyle="1" w:styleId="139">
    <w:name w:val="Intense Quote Char2"/>
    <w:autoRedefine/>
    <w:qFormat/>
    <w:locked/>
    <w:uiPriority w:val="99"/>
    <w:rPr>
      <w:rFonts w:ascii="Calibri" w:hAnsi="Calibri" w:eastAsia="宋体" w:cs="Times New Roman"/>
      <w:b/>
      <w:bCs/>
      <w:i/>
      <w:iCs/>
      <w:color w:val="4F81BD"/>
    </w:rPr>
  </w:style>
  <w:style w:type="character" w:customStyle="1" w:styleId="140">
    <w:name w:val="Char Char8"/>
    <w:autoRedefine/>
    <w:qFormat/>
    <w:uiPriority w:val="99"/>
    <w:rPr>
      <w:rFonts w:ascii="Arial" w:hAnsi="Arial" w:eastAsia="黑体"/>
      <w:b/>
      <w:kern w:val="2"/>
      <w:sz w:val="32"/>
      <w:lang w:val="en-US" w:eastAsia="zh-CN"/>
    </w:rPr>
  </w:style>
  <w:style w:type="character" w:customStyle="1" w:styleId="141">
    <w:name w:val="标题5 Char Char"/>
    <w:link w:val="58"/>
    <w:autoRedefine/>
    <w:qFormat/>
    <w:locked/>
    <w:uiPriority w:val="99"/>
    <w:rPr>
      <w:rFonts w:ascii="Arial" w:hAnsi="Arial"/>
      <w:b/>
      <w:sz w:val="32"/>
    </w:rPr>
  </w:style>
  <w:style w:type="character" w:customStyle="1" w:styleId="142">
    <w:name w:val="_Style 140"/>
    <w:autoRedefine/>
    <w:qFormat/>
    <w:uiPriority w:val="99"/>
    <w:rPr>
      <w:smallCaps/>
      <w:color w:val="C0504D"/>
      <w:u w:val="single"/>
    </w:rPr>
  </w:style>
  <w:style w:type="character" w:customStyle="1" w:styleId="143">
    <w:name w:val="Char Char9"/>
    <w:autoRedefine/>
    <w:qFormat/>
    <w:uiPriority w:val="99"/>
    <w:rPr>
      <w:kern w:val="2"/>
      <w:sz w:val="22"/>
    </w:rPr>
  </w:style>
  <w:style w:type="character" w:customStyle="1" w:styleId="144">
    <w:name w:val="Subtitle Char"/>
    <w:autoRedefine/>
    <w:qFormat/>
    <w:locked/>
    <w:uiPriority w:val="99"/>
    <w:rPr>
      <w:rFonts w:ascii="Cambria" w:hAnsi="Cambria" w:cs="Times New Roman"/>
      <w:b/>
      <w:bCs/>
      <w:kern w:val="28"/>
      <w:sz w:val="32"/>
      <w:szCs w:val="32"/>
    </w:rPr>
  </w:style>
  <w:style w:type="character" w:customStyle="1" w:styleId="145">
    <w:name w:val="_Style 143"/>
    <w:autoRedefine/>
    <w:qFormat/>
    <w:uiPriority w:val="99"/>
    <w:rPr>
      <w:b/>
      <w:smallCaps/>
      <w:spacing w:val="5"/>
    </w:rPr>
  </w:style>
  <w:style w:type="character" w:customStyle="1" w:styleId="146">
    <w:name w:val="三级 Char"/>
    <w:link w:val="59"/>
    <w:autoRedefine/>
    <w:qFormat/>
    <w:uiPriority w:val="0"/>
    <w:rPr>
      <w:rFonts w:ascii="宋体" w:hAnsi="宋体"/>
      <w:b/>
      <w:bCs/>
      <w:sz w:val="24"/>
      <w:szCs w:val="24"/>
    </w:rPr>
  </w:style>
  <w:style w:type="character" w:customStyle="1" w:styleId="147">
    <w:name w:val="_Style 145"/>
    <w:autoRedefine/>
    <w:qFormat/>
    <w:uiPriority w:val="99"/>
    <w:rPr>
      <w:b/>
      <w:i/>
      <w:color w:val="4F81BD"/>
    </w:rPr>
  </w:style>
  <w:style w:type="character" w:customStyle="1" w:styleId="148">
    <w:name w:val="Subtitle Char1"/>
    <w:autoRedefine/>
    <w:qFormat/>
    <w:locked/>
    <w:uiPriority w:val="99"/>
    <w:rPr>
      <w:rFonts w:ascii="Cambria" w:hAnsi="Cambria" w:cs="Times New Roman"/>
      <w:b/>
      <w:bCs/>
      <w:kern w:val="28"/>
      <w:sz w:val="32"/>
      <w:szCs w:val="32"/>
    </w:rPr>
  </w:style>
  <w:style w:type="character" w:customStyle="1" w:styleId="149">
    <w:name w:val="纯文本 Char"/>
    <w:autoRedefine/>
    <w:qFormat/>
    <w:uiPriority w:val="99"/>
    <w:rPr>
      <w:rFonts w:ascii="宋体" w:hAnsi="Courier New" w:eastAsia="宋体" w:cs="Courier New"/>
      <w:sz w:val="21"/>
      <w:szCs w:val="21"/>
    </w:rPr>
  </w:style>
  <w:style w:type="character" w:customStyle="1" w:styleId="150">
    <w:name w:val="Char Char"/>
    <w:autoRedefine/>
    <w:qFormat/>
    <w:uiPriority w:val="99"/>
    <w:rPr>
      <w:rFonts w:ascii="Arial" w:hAnsi="Arial" w:eastAsia="黑体"/>
      <w:b/>
      <w:kern w:val="2"/>
      <w:sz w:val="32"/>
      <w:lang w:val="en-US" w:eastAsia="zh-CN"/>
    </w:rPr>
  </w:style>
  <w:style w:type="character" w:customStyle="1" w:styleId="151">
    <w:name w:val="Quote Char1"/>
    <w:autoRedefine/>
    <w:qFormat/>
    <w:locked/>
    <w:uiPriority w:val="99"/>
    <w:rPr>
      <w:rFonts w:cs="Times New Roman"/>
      <w:i/>
      <w:iCs/>
      <w:color w:val="000000"/>
    </w:rPr>
  </w:style>
  <w:style w:type="character" w:customStyle="1" w:styleId="152">
    <w:name w:val="明显引用 Char"/>
    <w:autoRedefine/>
    <w:qFormat/>
    <w:uiPriority w:val="99"/>
    <w:rPr>
      <w:rFonts w:ascii="Times New Roman" w:hAnsi="Times New Roman" w:eastAsia="宋体" w:cs="Times New Roman"/>
      <w:b/>
      <w:bCs/>
      <w:i/>
      <w:iCs/>
      <w:color w:val="4F81BD"/>
      <w:sz w:val="24"/>
      <w:szCs w:val="24"/>
    </w:rPr>
  </w:style>
  <w:style w:type="character" w:customStyle="1" w:styleId="153">
    <w:name w:val="标题 3 字符"/>
    <w:autoRedefine/>
    <w:qFormat/>
    <w:locked/>
    <w:uiPriority w:val="99"/>
    <w:rPr>
      <w:rFonts w:ascii="Times New Roman" w:hAnsi="Times New Roman" w:eastAsia="宋体" w:cs="Times New Roman"/>
      <w:b/>
      <w:bCs/>
      <w:sz w:val="32"/>
      <w:szCs w:val="32"/>
    </w:rPr>
  </w:style>
  <w:style w:type="character" w:customStyle="1" w:styleId="154">
    <w:name w:val="Subtitle Char2"/>
    <w:autoRedefine/>
    <w:qFormat/>
    <w:locked/>
    <w:uiPriority w:val="99"/>
    <w:rPr>
      <w:rFonts w:ascii="Cambria" w:hAnsi="Cambria" w:eastAsia="宋体" w:cs="Times New Roman"/>
      <w:b/>
      <w:bCs/>
      <w:kern w:val="28"/>
      <w:sz w:val="32"/>
      <w:szCs w:val="32"/>
    </w:rPr>
  </w:style>
  <w:style w:type="character" w:customStyle="1" w:styleId="155">
    <w:name w:val="样式 标题 2 + Times New Roman 四号 非加粗 段前: 5 磅 段后: 0 磅 行距: 固定值 20... Char"/>
    <w:link w:val="61"/>
    <w:autoRedefine/>
    <w:qFormat/>
    <w:locked/>
    <w:uiPriority w:val="99"/>
    <w:rPr>
      <w:rFonts w:ascii="Times New Roman" w:hAnsi="Times New Roman" w:eastAsia="黑体" w:cs="宋体"/>
      <w:sz w:val="20"/>
      <w:szCs w:val="20"/>
    </w:rPr>
  </w:style>
  <w:style w:type="character" w:customStyle="1" w:styleId="156">
    <w:name w:val="正文文本 2 Char"/>
    <w:autoRedefine/>
    <w:qFormat/>
    <w:uiPriority w:val="99"/>
    <w:rPr>
      <w:rFonts w:ascii="Times New Roman" w:hAnsi="Times New Roman" w:eastAsia="宋体" w:cs="Times New Roman"/>
      <w:sz w:val="24"/>
      <w:szCs w:val="24"/>
    </w:rPr>
  </w:style>
  <w:style w:type="character" w:customStyle="1" w:styleId="157">
    <w:name w:val="副标题 Char"/>
    <w:autoRedefine/>
    <w:qFormat/>
    <w:uiPriority w:val="99"/>
    <w:rPr>
      <w:rFonts w:ascii="Cambria" w:hAnsi="Cambria" w:eastAsia="宋体" w:cs="Times New Roman"/>
      <w:b/>
      <w:bCs/>
      <w:kern w:val="28"/>
      <w:sz w:val="32"/>
      <w:szCs w:val="32"/>
    </w:rPr>
  </w:style>
  <w:style w:type="character" w:customStyle="1" w:styleId="158">
    <w:name w:val="日期 Char1"/>
    <w:autoRedefine/>
    <w:qFormat/>
    <w:uiPriority w:val="99"/>
    <w:rPr>
      <w:kern w:val="2"/>
      <w:sz w:val="22"/>
    </w:rPr>
  </w:style>
  <w:style w:type="character" w:customStyle="1" w:styleId="159">
    <w:name w:val="Body Text Indent 2 Char"/>
    <w:autoRedefine/>
    <w:qFormat/>
    <w:locked/>
    <w:uiPriority w:val="99"/>
    <w:rPr>
      <w:rFonts w:ascii="Times New Roman" w:hAnsi="Times New Roman" w:eastAsia="宋体" w:cs="Times New Roman"/>
      <w:sz w:val="24"/>
      <w:szCs w:val="24"/>
    </w:rPr>
  </w:style>
  <w:style w:type="character" w:customStyle="1" w:styleId="160">
    <w:name w:val="Char Char24"/>
    <w:autoRedefine/>
    <w:qFormat/>
    <w:locked/>
    <w:uiPriority w:val="99"/>
    <w:rPr>
      <w:rFonts w:ascii="宋体" w:hAnsi="宋体" w:eastAsia="宋体" w:cs="Times New Roman"/>
      <w:sz w:val="24"/>
      <w:szCs w:val="24"/>
      <w:lang w:bidi="ar-SA"/>
    </w:rPr>
  </w:style>
  <w:style w:type="character" w:customStyle="1" w:styleId="161">
    <w:name w:val="Char Char17"/>
    <w:autoRedefine/>
    <w:qFormat/>
    <w:uiPriority w:val="99"/>
    <w:rPr>
      <w:rFonts w:ascii="Cambria" w:hAnsi="Cambria" w:eastAsia="宋体"/>
      <w:b/>
      <w:kern w:val="2"/>
      <w:sz w:val="32"/>
    </w:rPr>
  </w:style>
  <w:style w:type="character" w:customStyle="1" w:styleId="162">
    <w:name w:val="批注框文本 Char3"/>
    <w:autoRedefine/>
    <w:qFormat/>
    <w:locked/>
    <w:uiPriority w:val="99"/>
    <w:rPr>
      <w:rFonts w:cs="Times New Roman"/>
      <w:sz w:val="18"/>
      <w:szCs w:val="18"/>
    </w:rPr>
  </w:style>
  <w:style w:type="character" w:customStyle="1" w:styleId="163">
    <w:name w:val="明显引用 Char1"/>
    <w:link w:val="62"/>
    <w:autoRedefine/>
    <w:qFormat/>
    <w:uiPriority w:val="99"/>
    <w:rPr>
      <w:rFonts w:ascii="Calibri" w:hAnsi="Calibri" w:eastAsia="宋体" w:cs="Times New Roman"/>
      <w:b/>
      <w:bCs/>
      <w:i/>
      <w:iCs/>
      <w:color w:val="4F81BD"/>
      <w:kern w:val="0"/>
      <w:sz w:val="20"/>
      <w:szCs w:val="20"/>
    </w:rPr>
  </w:style>
  <w:style w:type="character" w:customStyle="1" w:styleId="164">
    <w:name w:val="正文1 Char"/>
    <w:link w:val="63"/>
    <w:autoRedefine/>
    <w:qFormat/>
    <w:locked/>
    <w:uiPriority w:val="99"/>
    <w:rPr>
      <w:rFonts w:eastAsia="宋体"/>
    </w:rPr>
  </w:style>
  <w:style w:type="character" w:customStyle="1" w:styleId="165">
    <w:name w:val="font161"/>
    <w:autoRedefine/>
    <w:qFormat/>
    <w:uiPriority w:val="99"/>
    <w:rPr>
      <w:b/>
      <w:sz w:val="32"/>
    </w:rPr>
  </w:style>
  <w:style w:type="character" w:customStyle="1" w:styleId="166">
    <w:name w:val="Comment Subject Char"/>
    <w:autoRedefine/>
    <w:qFormat/>
    <w:locked/>
    <w:uiPriority w:val="99"/>
    <w:rPr>
      <w:rFonts w:eastAsia="宋体" w:cs="Times New Roman"/>
      <w:b/>
      <w:bCs/>
      <w:sz w:val="24"/>
      <w:szCs w:val="24"/>
    </w:rPr>
  </w:style>
  <w:style w:type="character" w:customStyle="1" w:styleId="167">
    <w:name w:val="Footnote Text Char"/>
    <w:autoRedefine/>
    <w:qFormat/>
    <w:locked/>
    <w:uiPriority w:val="99"/>
    <w:rPr>
      <w:rFonts w:ascii="Times New Roman" w:hAnsi="Times New Roman" w:cs="Times New Roman"/>
    </w:rPr>
  </w:style>
  <w:style w:type="character" w:customStyle="1" w:styleId="168">
    <w:name w:val="Body Text 2 Char"/>
    <w:autoRedefine/>
    <w:qFormat/>
    <w:locked/>
    <w:uiPriority w:val="99"/>
    <w:rPr>
      <w:rFonts w:ascii="宋体" w:eastAsia="宋体" w:cs="Times New Roman"/>
      <w:color w:val="000000"/>
      <w:sz w:val="18"/>
      <w:szCs w:val="18"/>
    </w:rPr>
  </w:style>
  <w:style w:type="character" w:customStyle="1" w:styleId="169">
    <w:name w:val="标题 1.1 Char"/>
    <w:autoRedefine/>
    <w:qFormat/>
    <w:uiPriority w:val="99"/>
    <w:rPr>
      <w:rFonts w:ascii="Arial" w:hAnsi="Arial" w:eastAsia="黑体"/>
      <w:b/>
      <w:kern w:val="2"/>
      <w:sz w:val="32"/>
      <w:lang w:val="en-US" w:eastAsia="zh-CN"/>
    </w:rPr>
  </w:style>
  <w:style w:type="character" w:customStyle="1" w:styleId="170">
    <w:name w:val="Title Char"/>
    <w:autoRedefine/>
    <w:qFormat/>
    <w:locked/>
    <w:uiPriority w:val="99"/>
    <w:rPr>
      <w:rFonts w:ascii="Arial" w:hAnsi="Arial" w:eastAsia="宋体" w:cs="Times New Roman"/>
      <w:b/>
      <w:sz w:val="32"/>
    </w:rPr>
  </w:style>
  <w:style w:type="character" w:customStyle="1" w:styleId="171">
    <w:name w:val="Quote Char2"/>
    <w:autoRedefine/>
    <w:qFormat/>
    <w:locked/>
    <w:uiPriority w:val="99"/>
    <w:rPr>
      <w:rFonts w:ascii="Calibri" w:hAnsi="Calibri" w:eastAsia="宋体" w:cs="Times New Roman"/>
      <w:i/>
      <w:iCs/>
      <w:color w:val="000000"/>
    </w:rPr>
  </w:style>
  <w:style w:type="character" w:customStyle="1" w:styleId="172">
    <w:name w:val="_Style 170"/>
    <w:autoRedefine/>
    <w:qFormat/>
    <w:uiPriority w:val="99"/>
    <w:rPr>
      <w:b/>
      <w:smallCaps/>
      <w:color w:val="C0504D"/>
      <w:spacing w:val="5"/>
      <w:u w:val="single"/>
    </w:rPr>
  </w:style>
  <w:style w:type="character" w:customStyle="1" w:styleId="173">
    <w:name w:val="Comment Text Char"/>
    <w:autoRedefine/>
    <w:qFormat/>
    <w:locked/>
    <w:uiPriority w:val="99"/>
    <w:rPr>
      <w:rFonts w:eastAsia="宋体" w:cs="Times New Roman"/>
      <w:sz w:val="24"/>
      <w:szCs w:val="24"/>
    </w:rPr>
  </w:style>
  <w:style w:type="character" w:customStyle="1" w:styleId="174">
    <w:name w:val="Char Char23"/>
    <w:autoRedefine/>
    <w:qFormat/>
    <w:locked/>
    <w:uiPriority w:val="99"/>
    <w:rPr>
      <w:rFonts w:ascii="宋体" w:hAnsi="宋体" w:eastAsia="宋体"/>
      <w:kern w:val="2"/>
      <w:sz w:val="24"/>
      <w:lang w:val="en-US" w:eastAsia="zh-CN"/>
    </w:rPr>
  </w:style>
  <w:style w:type="character" w:customStyle="1" w:styleId="175">
    <w:name w:val="正文文本缩进 3 Char1"/>
    <w:autoRedefine/>
    <w:qFormat/>
    <w:uiPriority w:val="99"/>
    <w:rPr>
      <w:rFonts w:cs="Times New Roman"/>
      <w:kern w:val="2"/>
      <w:sz w:val="16"/>
      <w:szCs w:val="16"/>
    </w:rPr>
  </w:style>
  <w:style w:type="character" w:customStyle="1" w:styleId="176">
    <w:name w:val="Title Char1"/>
    <w:autoRedefine/>
    <w:qFormat/>
    <w:locked/>
    <w:uiPriority w:val="99"/>
    <w:rPr>
      <w:rFonts w:ascii="Cambria" w:hAnsi="Cambria" w:cs="Times New Roman"/>
      <w:b/>
      <w:bCs/>
      <w:sz w:val="32"/>
      <w:szCs w:val="32"/>
    </w:rPr>
  </w:style>
  <w:style w:type="character" w:customStyle="1" w:styleId="177">
    <w:name w:val="Title Char2"/>
    <w:autoRedefine/>
    <w:qFormat/>
    <w:locked/>
    <w:uiPriority w:val="99"/>
    <w:rPr>
      <w:rFonts w:ascii="Cambria" w:hAnsi="Cambria" w:eastAsia="宋体" w:cs="Times New Roman"/>
      <w:b/>
      <w:bCs/>
      <w:sz w:val="32"/>
      <w:szCs w:val="32"/>
    </w:rPr>
  </w:style>
  <w:style w:type="character" w:customStyle="1" w:styleId="178">
    <w:name w:val="Date Char"/>
    <w:autoRedefine/>
    <w:qFormat/>
    <w:locked/>
    <w:uiPriority w:val="99"/>
    <w:rPr>
      <w:rFonts w:ascii="Times New Roman" w:hAnsi="Times New Roman" w:eastAsia="宋体" w:cs="Times New Roman"/>
      <w:sz w:val="24"/>
      <w:szCs w:val="24"/>
    </w:rPr>
  </w:style>
  <w:style w:type="character" w:customStyle="1" w:styleId="179">
    <w:name w:val="Body Text 3 Char"/>
    <w:autoRedefine/>
    <w:qFormat/>
    <w:locked/>
    <w:uiPriority w:val="99"/>
    <w:rPr>
      <w:rFonts w:ascii="宋体" w:hAnsi="Times New Roman" w:eastAsia="宋体" w:cs="Times New Roman"/>
      <w:sz w:val="20"/>
      <w:szCs w:val="20"/>
    </w:rPr>
  </w:style>
  <w:style w:type="character" w:customStyle="1" w:styleId="180">
    <w:name w:val="标题 2 Char"/>
    <w:autoRedefine/>
    <w:qFormat/>
    <w:uiPriority w:val="99"/>
    <w:rPr>
      <w:rFonts w:ascii="Cambria" w:hAnsi="Cambria" w:eastAsia="宋体" w:cs="Times New Roman"/>
      <w:b/>
      <w:bCs/>
      <w:kern w:val="0"/>
      <w:sz w:val="32"/>
      <w:szCs w:val="32"/>
    </w:rPr>
  </w:style>
  <w:style w:type="character" w:customStyle="1" w:styleId="181">
    <w:name w:val="Intense Quote Char1"/>
    <w:autoRedefine/>
    <w:qFormat/>
    <w:locked/>
    <w:uiPriority w:val="99"/>
    <w:rPr>
      <w:rFonts w:cs="Times New Roman"/>
      <w:b/>
      <w:bCs/>
      <w:i/>
      <w:iCs/>
      <w:color w:val="4F81BD"/>
    </w:rPr>
  </w:style>
  <w:style w:type="character" w:customStyle="1" w:styleId="182">
    <w:name w:val="HTML Markup"/>
    <w:autoRedefine/>
    <w:qFormat/>
    <w:uiPriority w:val="99"/>
    <w:rPr>
      <w:rFonts w:cs="Times New Roman"/>
      <w:vanish/>
      <w:color w:val="FF0000"/>
    </w:rPr>
  </w:style>
  <w:style w:type="character" w:customStyle="1" w:styleId="183">
    <w:name w:val="Plain Text Char"/>
    <w:autoRedefine/>
    <w:qFormat/>
    <w:locked/>
    <w:uiPriority w:val="99"/>
    <w:rPr>
      <w:rFonts w:ascii="宋体" w:hAnsi="Courier New" w:eastAsia="宋体" w:cs="Times New Roman"/>
    </w:rPr>
  </w:style>
  <w:style w:type="character" w:customStyle="1" w:styleId="184">
    <w:name w:val="二级 Char"/>
    <w:link w:val="64"/>
    <w:autoRedefine/>
    <w:qFormat/>
    <w:uiPriority w:val="0"/>
    <w:rPr>
      <w:rFonts w:ascii="宋体" w:hAnsi="宋体"/>
      <w:b/>
      <w:bCs/>
      <w:sz w:val="28"/>
      <w:szCs w:val="28"/>
    </w:rPr>
  </w:style>
  <w:style w:type="character" w:customStyle="1" w:styleId="185">
    <w:name w:val="Body Text Indent 3 Char"/>
    <w:autoRedefine/>
    <w:qFormat/>
    <w:locked/>
    <w:uiPriority w:val="99"/>
    <w:rPr>
      <w:rFonts w:ascii="Times New Roman" w:hAnsi="Times New Roman" w:eastAsia="宋体" w:cs="Times New Roman"/>
      <w:sz w:val="16"/>
      <w:szCs w:val="16"/>
    </w:rPr>
  </w:style>
  <w:style w:type="character" w:customStyle="1" w:styleId="186">
    <w:name w:val="textcontents"/>
    <w:autoRedefine/>
    <w:qFormat/>
    <w:uiPriority w:val="99"/>
    <w:rPr>
      <w:rFonts w:ascii="Times New Roman" w:hAnsi="Times New Roman"/>
    </w:rPr>
  </w:style>
  <w:style w:type="character" w:customStyle="1" w:styleId="187">
    <w:name w:val="批注文字 Char"/>
    <w:autoRedefine/>
    <w:qFormat/>
    <w:uiPriority w:val="99"/>
    <w:rPr>
      <w:rFonts w:ascii="Times New Roman" w:hAnsi="Times New Roman" w:eastAsia="宋体" w:cs="Times New Roman"/>
      <w:sz w:val="24"/>
      <w:szCs w:val="24"/>
    </w:rPr>
  </w:style>
  <w:style w:type="character" w:customStyle="1" w:styleId="188">
    <w:name w:val="引用 Char"/>
    <w:autoRedefine/>
    <w:qFormat/>
    <w:uiPriority w:val="99"/>
    <w:rPr>
      <w:rFonts w:ascii="Times New Roman" w:hAnsi="Times New Roman" w:eastAsia="宋体" w:cs="Times New Roman"/>
      <w:i/>
      <w:iCs/>
      <w:color w:val="000000"/>
      <w:sz w:val="24"/>
      <w:szCs w:val="24"/>
    </w:rPr>
  </w:style>
  <w:style w:type="character" w:customStyle="1" w:styleId="189">
    <w:name w:val="引用 Char1"/>
    <w:link w:val="65"/>
    <w:autoRedefine/>
    <w:qFormat/>
    <w:uiPriority w:val="99"/>
    <w:rPr>
      <w:rFonts w:ascii="Calibri" w:hAnsi="Calibri" w:eastAsia="宋体" w:cs="Times New Roman"/>
      <w:i/>
      <w:iCs/>
      <w:color w:val="000000"/>
      <w:kern w:val="0"/>
      <w:sz w:val="20"/>
      <w:szCs w:val="20"/>
    </w:rPr>
  </w:style>
  <w:style w:type="character" w:customStyle="1" w:styleId="190">
    <w:name w:val="批注主题 Char1"/>
    <w:autoRedefine/>
    <w:qFormat/>
    <w:uiPriority w:val="99"/>
    <w:rPr>
      <w:b/>
      <w:kern w:val="2"/>
      <w:sz w:val="22"/>
    </w:rPr>
  </w:style>
  <w:style w:type="character" w:customStyle="1" w:styleId="191">
    <w:name w:val="批注文字 Char Char"/>
    <w:autoRedefine/>
    <w:qFormat/>
    <w:uiPriority w:val="99"/>
    <w:rPr>
      <w:rFonts w:ascii="宋体" w:hAnsi="Times New Roman" w:eastAsia="宋体"/>
      <w:sz w:val="20"/>
    </w:rPr>
  </w:style>
  <w:style w:type="character" w:customStyle="1" w:styleId="192">
    <w:name w:val="Body Text Char"/>
    <w:autoRedefine/>
    <w:qFormat/>
    <w:locked/>
    <w:uiPriority w:val="99"/>
    <w:rPr>
      <w:rFonts w:ascii="Times New Roman" w:hAnsi="Times New Roman" w:eastAsia="宋体" w:cs="Times New Roman"/>
      <w:sz w:val="24"/>
      <w:szCs w:val="24"/>
    </w:rPr>
  </w:style>
  <w:style w:type="character" w:customStyle="1" w:styleId="193">
    <w:name w:val="font61"/>
    <w:basedOn w:val="48"/>
    <w:autoRedefine/>
    <w:qFormat/>
    <w:uiPriority w:val="0"/>
    <w:rPr>
      <w:rFonts w:ascii="仿宋_GB2312" w:eastAsia="仿宋_GB2312" w:cs="仿宋_GB2312"/>
      <w:color w:val="000000"/>
      <w:sz w:val="20"/>
      <w:szCs w:val="20"/>
      <w:u w:val="none"/>
    </w:rPr>
  </w:style>
  <w:style w:type="character" w:customStyle="1" w:styleId="194">
    <w:name w:val="font71"/>
    <w:basedOn w:val="48"/>
    <w:autoRedefine/>
    <w:qFormat/>
    <w:uiPriority w:val="0"/>
    <w:rPr>
      <w:rFonts w:hint="eastAsia" w:ascii="宋体" w:hAnsi="宋体" w:eastAsia="宋体" w:cs="宋体"/>
      <w:color w:val="000000"/>
      <w:sz w:val="20"/>
      <w:szCs w:val="20"/>
      <w:u w:val="none"/>
    </w:rPr>
  </w:style>
  <w:style w:type="character" w:customStyle="1" w:styleId="195">
    <w:name w:val="font11"/>
    <w:basedOn w:val="48"/>
    <w:autoRedefine/>
    <w:qFormat/>
    <w:uiPriority w:val="0"/>
    <w:rPr>
      <w:rFonts w:hint="eastAsia" w:ascii="宋体" w:hAnsi="宋体" w:eastAsia="宋体" w:cs="宋体"/>
      <w:color w:val="000000"/>
      <w:sz w:val="20"/>
      <w:szCs w:val="20"/>
      <w:u w:val="none"/>
    </w:rPr>
  </w:style>
  <w:style w:type="character" w:customStyle="1" w:styleId="196">
    <w:name w:val="font81"/>
    <w:basedOn w:val="48"/>
    <w:autoRedefine/>
    <w:qFormat/>
    <w:uiPriority w:val="0"/>
    <w:rPr>
      <w:rFonts w:hint="default" w:ascii="Times New Roman" w:hAnsi="Times New Roman" w:cs="Times New Roman"/>
      <w:color w:val="000000"/>
      <w:sz w:val="20"/>
      <w:szCs w:val="20"/>
      <w:u w:val="none"/>
    </w:rPr>
  </w:style>
  <w:style w:type="character" w:customStyle="1" w:styleId="197">
    <w:name w:val="font01"/>
    <w:basedOn w:val="48"/>
    <w:autoRedefine/>
    <w:qFormat/>
    <w:uiPriority w:val="0"/>
    <w:rPr>
      <w:rFonts w:hint="eastAsia" w:ascii="仿宋_GB2312" w:eastAsia="仿宋_GB2312" w:cs="仿宋_GB2312"/>
      <w:color w:val="000000"/>
      <w:sz w:val="20"/>
      <w:szCs w:val="20"/>
      <w:u w:val="none"/>
    </w:rPr>
  </w:style>
  <w:style w:type="character" w:customStyle="1" w:styleId="198">
    <w:name w:val="font91"/>
    <w:basedOn w:val="48"/>
    <w:autoRedefine/>
    <w:qFormat/>
    <w:uiPriority w:val="0"/>
    <w:rPr>
      <w:rFonts w:ascii="微软雅黑" w:hAnsi="微软雅黑" w:eastAsia="微软雅黑" w:cs="微软雅黑"/>
      <w:color w:val="000000"/>
      <w:sz w:val="20"/>
      <w:szCs w:val="20"/>
      <w:u w:val="none"/>
    </w:rPr>
  </w:style>
  <w:style w:type="character" w:customStyle="1" w:styleId="199">
    <w:name w:val="font21"/>
    <w:basedOn w:val="48"/>
    <w:autoRedefine/>
    <w:qFormat/>
    <w:uiPriority w:val="0"/>
    <w:rPr>
      <w:rFonts w:hint="eastAsia" w:ascii="宋体" w:hAnsi="宋体" w:eastAsia="宋体" w:cs="宋体"/>
      <w:color w:val="000000"/>
      <w:sz w:val="18"/>
      <w:szCs w:val="18"/>
      <w:u w:val="none"/>
    </w:rPr>
  </w:style>
  <w:style w:type="character" w:customStyle="1" w:styleId="200">
    <w:name w:val="font51"/>
    <w:basedOn w:val="48"/>
    <w:autoRedefine/>
    <w:qFormat/>
    <w:uiPriority w:val="0"/>
    <w:rPr>
      <w:rFonts w:ascii="仿宋_GB2312" w:eastAsia="仿宋_GB2312" w:cs="仿宋_GB2312"/>
      <w:color w:val="000000"/>
      <w:sz w:val="20"/>
      <w:szCs w:val="20"/>
      <w:u w:val="none"/>
    </w:rPr>
  </w:style>
  <w:style w:type="character" w:customStyle="1" w:styleId="201">
    <w:name w:val="font31"/>
    <w:basedOn w:val="48"/>
    <w:autoRedefine/>
    <w:qFormat/>
    <w:uiPriority w:val="0"/>
    <w:rPr>
      <w:rFonts w:hint="eastAsia" w:ascii="宋体" w:hAnsi="宋体" w:eastAsia="宋体" w:cs="宋体"/>
      <w:color w:val="000000"/>
      <w:sz w:val="18"/>
      <w:szCs w:val="18"/>
      <w:u w:val="none"/>
    </w:rPr>
  </w:style>
  <w:style w:type="character" w:customStyle="1" w:styleId="202">
    <w:name w:val="font41"/>
    <w:basedOn w:val="48"/>
    <w:autoRedefine/>
    <w:qFormat/>
    <w:uiPriority w:val="0"/>
    <w:rPr>
      <w:rFonts w:hint="eastAsia" w:ascii="等线" w:hAnsi="等线" w:eastAsia="等线" w:cs="等线"/>
      <w:color w:val="000000"/>
      <w:sz w:val="20"/>
      <w:szCs w:val="20"/>
      <w:u w:val="none"/>
    </w:rPr>
  </w:style>
  <w:style w:type="paragraph" w:customStyle="1" w:styleId="203">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10014</Words>
  <Characters>11265</Characters>
  <Lines>183</Lines>
  <Paragraphs>51</Paragraphs>
  <TotalTime>77</TotalTime>
  <ScaleCrop>false</ScaleCrop>
  <LinksUpToDate>false</LinksUpToDate>
  <CharactersWithSpaces>11509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2022-01-02T12:08:00Z</dcterms:created>
  <dc:creator>lixue</dc:creator>
  <cp:lastModifiedBy>Yuxue</cp:lastModifiedBy>
  <cp:lastPrinted>2025-05-12T07:52:00Z</cp:lastPrinted>
  <dcterms:modified xsi:type="dcterms:W3CDTF">2026-07-08T03:36:22Z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71BC6D86E9F549BCB60A30BFA97BB28C</vt:lpwstr>
  </property>
  <property fmtid="{D5CDD505-2E9C-101B-9397-08002B2CF9AE}" pid="4" name="KSOTemplateDocerSaveRecord">
    <vt:lpwstr>eyJoZGlkIjoiOGIxMjkzYWNlZTUyOWJkNzc0NWJhZjZjMGI2ODk4NTQiLCJ1c2VySWQiOiI0MTM1NTA2ODgifQ==</vt:lpwstr>
  </property>
</Properties>
</file>